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707f" w14:textId="a717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Счетного комитета по контролю за исполнением республиканского бюджета от 31 августа 2011 года  № 3-НП "Об утверждении Типовой системы управления рисками, которая применяется при планировании и проведении внешнего государственного финансового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18 января 2013 года № 1-НП. Зарегистрировано в Министерстве юстиции Республики Казахстан 15 февраля 2013 года № 8338. Утратило силу нормативным постановлением Счетного комитета по контролю за исполнением республиканского бюджета от 28 ноября 2015 года № 13-НҚ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нормативным постановлением Счетного комитета по контролю за исполнением республиканского бюджета от 28.11.2015 </w:t>
      </w:r>
      <w:r>
        <w:rPr>
          <w:rFonts w:ascii="Times New Roman"/>
          <w:b w:val="false"/>
          <w:i w:val="false"/>
          <w:color w:val="ff0000"/>
          <w:sz w:val="28"/>
        </w:rPr>
        <w:t>№ 13-НҚ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145 Бюджетного кодекса Республики Казахстан Счетный комитет по контролю за исполнением республиканского бюджета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августа 2011 года № 3-НП «Об утверждении типовой системы управления рисками, которая применяется при планировании и проведении внешнего государственного финансового контроля» (зарегистрировано в Реестре государственной регистрации нормативных правовых актов за № 7205, опубликовано в газете «Казахстанская правда» от 15 октября 2011 года № 330-331 (26721-26722)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Типовую систему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рисками, которая применяется при планировании и проведении внешнего государственного финансового контроля, утвержденную названным нормативным постановлением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Счетного комитета по контролю за исполнением республиканского бюджета (Супрун В.В.) обеспечить государственную регистрацию настоящего нормативного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      А. Мусин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нормативному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Счетного комитета по контролю 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2013 года № 1-НП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нормативным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Счетного комитета по контролю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исполнением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2011 года № 3-НП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система управления рисками,</w:t>
      </w:r>
      <w:r>
        <w:br/>
      </w:r>
      <w:r>
        <w:rPr>
          <w:rFonts w:ascii="Times New Roman"/>
          <w:b/>
          <w:i w:val="false"/>
          <w:color w:val="000000"/>
        </w:rPr>
        <w:t>
которая применяется при планировании и проведении внешнего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финансового контроля 1. Основные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типовая система управления рисками, которая применяется при планировании и проведении внешнего государственного финансового контроля (далее – Типовая система)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Бюджетного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целью типовой системы является выявление объектов контроля повышенного риска, а также наиболее подверженных риску с целью их максимального охвата финансовым контролем.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При использовании типовой системы применяются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контроля - участники бюджетного процесса, субъекты квазигосударственного сектора, а также получатели бюджетных средств, физические и юридические лица, использующие связанные гранты, активы государства, гарантированные государством займы;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объекта контроля - подготовительный этап, в ходе которого создаются необходимые предпосылки для планирования и проведения всего процесса контрольных мероприятий, базирующийся на сборе, анализе и оценке информации о результатах деятельности объекта контроля, возникающих рисках и существующих проблемах;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критерии – перечень показателей, на основе которых принимается решение об отнесении объекта контроля к определенной группе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несоблюдения бюджетного законодательства Республики Казахстан, неблагоприятного воздействия события или действия на объект контроля, которая может привести к финансовым нарушениям, хищениям (растрате) бюджетных средств и нанесению экономического ущерба государству, а также вероятность недостижения или неэффективного исполнения целевых индикаторов и показателей, предусмотренных в программных документах и стратегических планах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группа риска – условно проведенное объединение объектов контроля по полученным критериям в соответствии с параметрами и показателями, установленными настоящей типовой системой;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управление рисками - процессы, связанные с идентификацией, анализом рисков и принятием решений, которые включают максимизацию положительных и минимизацию отрицательных последствий наступления рисковых событий;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система управления рисками – система администрирования, обеспечивающая проведение эффективного планирования и проведения контрольных мероприятий, базирующаяся на принципах выборочности, оптимального распределения ресурсов на наиболее приоритетных направлениях контрольной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анализ риска – действие, проводимое для выявления наибольшего влияния риска на ту или иную сферу деятельности объекта контроля с целью оптимизации процесса оценки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оценка степени риска - натурально-вещественный и стоимостный анализ всех рисковых обстоятельств, характеризующих параметры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Процесс управления рисками включает в себя следующие этапы: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базы данных для проведения оценки рисков путем сбора необходимой информации из финансовой, бюджетной, бухгалтерской отчетности, полученной от объектов контроля и из других официальных источников;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идентификация рисков заключается в ранжировании рисков по степени важности (высокая, средняя, минимальная);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расчет сводного показателя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результатов оценки рисков и оформление выходных форм в разрезе объектов контроля, критериев, степени важности и групп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мониторинг и контроль рисков, то есть учет объектов контроля по группам риска в динамике для последующего анализа и оценки эффективности действий по минимизации рисков объектами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планирование управлением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Типовая система используется при составлении плана контрольно-аналитических мероприятий, проведении контроля, анализа и оценки объектов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Типовая система используется органами внешнего государственного финансового контроля (далее - органы контроля) согласно возложенным функциям и полномочиям на всех уровнях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уровне – Счетным комитетом по контролю за исполнением республиканского бюджета (далее – Счетный комитет);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местном уровне – ревизионными комиссиями областей, городов республиканского значения, столицы (далее – ревизионные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Вопросы, не регламентированные настоящей типовой системой, решаются ревизионными комиссиями по согласованию со Счетным комитетом.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Создание базы данных для</w:t>
      </w:r>
      <w:r>
        <w:br/>
      </w:r>
      <w:r>
        <w:rPr>
          <w:rFonts w:ascii="Times New Roman"/>
          <w:b/>
          <w:i w:val="false"/>
          <w:color w:val="000000"/>
        </w:rPr>
        <w:t>
проведения оценки рисков и идентификация рисков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Создание базы данных для проведения оценки рисков осуществляется в ходе анализа показателей, на основе которых вырабатываются критерии оценки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процессе проведения анализа определяются показатели наиболее подверженные риску, относящие объект контроля к соответствующей группе риска, а также устойчивые и менее подверженные риску. При этом определяется перечень критериев для проведения идентификации рисков, а также проводится документирование их характеристик.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Идентификация рисков проводится в три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первоначальном этапе проводятся расчетные операции по исчислению необходимых для идентификации рисков значений и данных в виде количественных и качественных измерений, долей, динамики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осуществляются аналитические мероприятия, сравнение и сопоставление значений и данных по критериям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третьем этапе проводится идентификация рисков и распределение объектов контроля по группам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идентификации рисков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качественная оценка рисков, то есть установление для каждого критерия диапазона значений, позволяющее проведение их качественной оценки, исходя из показателей, полученных по определенному критерию, объект контроля относится к одной из групп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количественная оценка рисков, то есть сравнение критериев в зависимости от суммы значений на основе чего происходит отнесение объекта контроля к той или иной группе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Ранжирование объектов контроля внутри группы риска осуществляется в зависимости от суммы полученных значений по группе, к которой он отнесен. На первое место в группе с высокой степенью риска ставится объект, набравший максимальную сумму значений по этой группе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Общее руководство процессом идентификации рисков на всех этапах осуществляется руководителем органа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критериев по отнесению объектов контроля к группам риска для планирования и проведения контрольных мероприятий определяется на основе их открытости, доступности и количественной измеряемости.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Расчет сводного показателя риска и получение</w:t>
      </w:r>
      <w:r>
        <w:br/>
      </w:r>
      <w:r>
        <w:rPr>
          <w:rFonts w:ascii="Times New Roman"/>
          <w:b/>
          <w:i w:val="false"/>
          <w:color w:val="000000"/>
        </w:rPr>
        <w:t>
результатов оценки рисков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Для каждого критерия установлен диапазон значений. Исходя из значения по определенному критерию, показатель относится к одной из трех групп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Исходя из установленных диапазонов значений для отдельного критерия, в зависимости от того, к какой группе риска относится значение показателя объекта контроля, показателю присваивается значение этой группы риска. Показателям, значения которых относятся к группе высокой степени риска, присваивается 3 балла, средней степени риска – 2 балла и минимальной степени риска -1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Расчет сводного показателя риска по объекту контроля производится в разрезе каждой группы по каждому объекту контроля путем суммирования значений групп риска каждого критерия.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целях определения степени риска объектов контроля определяется процентная доля риска объекта контроля (полученные суммарные значения рисков сопоставляются с возможным максимальным значением риска).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Объект контроля относится к группе высокой степени риска, доля риска которого находится в пределах от 70 до 100%; к группе средней степени риска, доля риска которого находится в пределах от 50 до 70% и к группе минимальной степени риска, доля риска которого находится в пределах ниже 50%.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применения данных расчетов все объекты контроля классифицируются по 3 группам риска - в группу высокой степени риска, в группу средней степени риска и в группу минимальной степени.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Мониторинг и контроль рисков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Результаты расчетов по отнесению объектов контроля к определенным группам риска в разрезе объектов контроля с детализацией показателей по критериям, в срок не позднее чем за 1 месяц до начала этапа планирования передаются членам органа контроля и структурным подразделениям, участвующим в планировании контрольной деятельности органа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Члены органа контроля и структурные подразделения, участвующие в планировании контрольной деятельности органа контроля на основании оценки рисков, с учетом имеющихся ресурсов и дополнительной информации в течение 15 календарных дней со дня получения данных об отнесении объектов контроля к группам риска направляют предложения по включению в план работ органа контроля на соответствующий период в структурное подразделение органа контроля, ответственное за планирование контрольной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Проект плана работ органа контроля на соответствующий период, согласованный с членами органа контроля и структурными подразделениями, участвующими в планировании контрольной деятельности передается руководителю органа контроля в течение 15 календарных дней со дня получения предложений по включению в план работ органа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осуществлении контрольных мероприятий оценка рисков проводится на начальном этапе контроля с целью повышения эффективности государственного финансового контроля и оптимального распределения ограниченных ресурсов органа контроля, а также при необходимости на любой стадии проведения контроля.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Планирование управлением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Планирование управления рисками осуществляется принятием решений по планированию и проведению контрольно-аналитических мероприятий органом контроля с целью нейтрализации рисков и повышения финансовой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 итогам контроля органом контроля вырабатываются рекомендации по объектам контроля, реализация которых способствует нейтрализации риска и предупреждению финансовых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данной типовой системе все объекты делятся на шесть блоков. В первый блок отнесены государственные органы, разрабатывающие стратегический план, во второй блок - государственные органы, не разрабатывающие стратегический план, в третий и четвертый – государственные органы по доходной части (налоговые органы и за исключением налоговых органов), пятый – программные документы (государственные и отраслевые программы, разработанные в ее реализацию) и шестой - субъекты квазигосударственного сектора. Критерии по отнесению программных документов (государственных и отраслевых программ, разработанных в ее реализацию) к группам риска рассчитываются только Счетным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Определение рисков в объектах контроля блоков осуществляется на основе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отнесению государственных органов, разрабатывающих стратегические планы к группам риска согласно приложению 1 к Типовой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отнесению государственных органов, не разрабатывающих стратегические планы к группам риска согласно приложению 2 к Типовой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отнесению государственных органов, осуществляющих деятельность по обеспечению полноты и своевременности поступлений в республиканский или местный бюджет, к группам риска (налоговые органы) согласно приложению 3 к Типовой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отнесению государственных органов, осуществляющих деятельность по обеспечению полноты и своевременности поступлений в республиканский или местный бюджет, к группам риска (за исключением налоговых органов) согласно приложению 4 к Типовой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отнесению программных документов (государственных и отраслевых программ, разработанных в ее реализацию), к группам риска согласно приложению 5 к Типовой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отнесению субъектов квазигосударственного сектора к группам риска согласно приложению 6 к Типовой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На основе данных постановлений и заключений Счетного комитета, ревизионной комисии и информации от Комитета финансового контроля Министерства финансов Республики Казахстан и его территориальных подразделений проводится анализ полноты охвата государственных органов контрольными мероприятиями органов государственного финансового контроля в разрезе бюджетных программ за последние два года,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полноты охвата тематическими контрольными мероприятиями органов государственного финансового контроля за два года (в разрезе каждого государственного органа) согласно приложению 7 к Типовой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полноты охвата государственных органов тематическими контрольными мероприятиями органов государственного финансового контроля за два года (сводная по всем государственным органам) согласно приложению 8 к Типовой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Органы контроля по необходимости с целью получения более точных результатов изменяют количество блоков и критериев, а также изменяют диапазоны значения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Результаты оценки рисков объектов контроля используются органами контроля при планировании и проведении контрольных мероприятий, а также подготовке аналитических, информационных и иных документов по направлениям деятельности органа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Типовой системе управления рисками,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которая применяется при планировании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проведении внешнего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 КРИТЕРИЕВ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по отнесению государственных органов, разрабатывающих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стратегические планы к группам риска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499"/>
        <w:gridCol w:w="1834"/>
        <w:gridCol w:w="2524"/>
        <w:gridCol w:w="2588"/>
      </w:tblGrid>
      <w:tr>
        <w:trPr>
          <w:trHeight w:val="30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риска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степени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минимальной степени 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стратегического плана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высокой степени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степени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минимальной степени 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недостигнутых целевых индикаторов от общего количества,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недостигнутых показателей результата от общего количества,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невыполненных мероприятий от общего количества,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</w:t>
            </w:r>
          </w:p>
        </w:tc>
      </w:tr>
      <w:tr>
        <w:trPr>
          <w:trHeight w:val="5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бюджетных программ, реализуемых госорганом, ед.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20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10</w:t>
            </w:r>
          </w:p>
        </w:tc>
      </w:tr>
      <w:tr>
        <w:trPr>
          <w:trHeight w:val="8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показателей прямого результата бюджетных программ, недостигших значений, предусмотренных в первоначально утвержденном стратегическом плане, от общего количества, в %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</w:tr>
      <w:tr>
        <w:trPr>
          <w:trHeight w:val="8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показателей конечного результата бюджетных программ, недостигших значений, предусмотренных в первоначально утвержденном стратегическом плане, от общего количества, в %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7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 внесенных изменений и дополнений в стратегический план, количество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</w:tr>
      <w:tr>
        <w:trPr>
          <w:trHeight w:val="66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объем финансирования государственного органа, млн. тенге*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бюджета развития от общего объема бюджета за отчетный период,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30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15</w:t>
            </w:r>
          </w:p>
        </w:tc>
      </w:tr>
      <w:tr>
        <w:trPr>
          <w:trHeight w:val="12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бюджетных средств, охваченных тематическим контролем от общего объема бюджетных средств, выделенных за последние два года,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30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30-60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60</w:t>
            </w:r>
          </w:p>
        </w:tc>
      </w:tr>
      <w:tr>
        <w:trPr>
          <w:trHeight w:val="7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Рост/снижение объемов финансирования по сравнению с прошлым периодом,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&gt;/=/&lt;0</w:t>
            </w:r>
          </w:p>
        </w:tc>
      </w:tr>
      <w:tr>
        <w:trPr>
          <w:trHeight w:val="7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несвоевременно реализуемых бюджетных инвестиционных проектов от их общего количества,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</w:tr>
      <w:tr>
        <w:trPr>
          <w:trHeight w:val="6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бюджетных средств на конец периода,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96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99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100</w:t>
            </w:r>
          </w:p>
        </w:tc>
      </w:tr>
      <w:tr>
        <w:trPr>
          <w:trHeight w:val="6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бюджетных инвестиционных проектов, реализуемых данным госорганом, ед.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2</w:t>
            </w:r>
          </w:p>
        </w:tc>
      </w:tr>
      <w:tr>
        <w:trPr>
          <w:trHeight w:val="11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Масштабы финансовых нарушений, выявленных предыдущим контролем к объему расходов соответствующего периода,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0</w:t>
            </w:r>
          </w:p>
        </w:tc>
      </w:tr>
      <w:tr>
        <w:trPr>
          <w:trHeight w:val="8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Рост/снижение объемов дебиторской задолженности по сравнению с прошлым периодом,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30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&gt;/=/&lt;0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Текучесть кадров от общего числа работников,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0</w:t>
            </w:r>
          </w:p>
        </w:tc>
      </w:tr>
      <w:tr>
        <w:trPr>
          <w:trHeight w:val="6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последней комплексной проверки, год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3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2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&gt;/=/&lt;1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рекомендаций органа контроля, в %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60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80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*по данному критерию, исходя из объемов бюджетных средств данной области, района, ревизионными комиссиями самостоятельно определяются два значения: один – для областного уровня, второй – для районного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Типовой системе управления рисками,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которая применяется при планировании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проведении внешнего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ПЕРЕЧЕНЬ КРИТЕРИЕВ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отнесению государственных органов,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разрабатывающих стратегические планы к группам риска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794"/>
        <w:gridCol w:w="1842"/>
        <w:gridCol w:w="2262"/>
        <w:gridCol w:w="3462"/>
      </w:tblGrid>
      <w:tr>
        <w:trPr>
          <w:trHeight w:val="300" w:hRule="atLeast"/>
        </w:trPr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п/п</w:t>
            </w:r>
          </w:p>
        </w:tc>
        <w:tc>
          <w:tcPr>
            <w:tcW w:w="5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Группы риска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высокой степени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средней степени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минимальной степени 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объем финансирования государственного органа*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бюджета развития от общего объема бюджета за отчетный период, в %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30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15</w:t>
            </w:r>
          </w:p>
        </w:tc>
      </w:tr>
      <w:tr>
        <w:trPr>
          <w:trHeight w:val="12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бюджетных средств, охваченных тематическим контролем от общего объема бюджетных средств, выделенных за последние два года, в %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30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30-60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60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Рост/снижение объемов финансирования по сравнению с прошлым периодом, в %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&gt;/=/&lt;0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несвоевременно реализуемых бюджетных инвестиционных проектов от их общего количества 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Освоение бюджетных средств на конец периода, в %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96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99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100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бюджетных инвестиционных проектов, реализуемых данным государственным учреждением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2</w:t>
            </w:r>
          </w:p>
        </w:tc>
      </w:tr>
      <w:tr>
        <w:trPr>
          <w:trHeight w:val="11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Масштабы финансовых нарушений, выявленных предыдущим контролем к объему расходов соответствующего периода, в %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5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Рост/снижение объемов дебиторской задолженности по сравнению с прошлым периодом, в %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30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&gt;/=10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&gt;/=/&lt;0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Текучесть кадров от общего числа работников, в %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5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0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последней комплексной проверки, год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2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&gt;/=/&lt;1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рекомендаций органа контроля, в %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60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80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Типовой системе управления рисками,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которая применяется при планировании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проведении внешнего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 КРИТЕРИЕВ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по отнесению государственных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осуществляющих деятельность по обеспечению полноты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своевременности поступлений в республиканский/местный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бюджет, к группам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(налоговые органы)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540"/>
        <w:gridCol w:w="2073"/>
        <w:gridCol w:w="2451"/>
        <w:gridCol w:w="2915"/>
      </w:tblGrid>
      <w:tr>
        <w:trPr>
          <w:trHeight w:val="30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п/п</w:t>
            </w:r>
          </w:p>
        </w:tc>
        <w:tc>
          <w:tcPr>
            <w:tcW w:w="5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Группы риска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высокой степени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средней степени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минимальной степени </w:t>
            </w:r>
          </w:p>
        </w:tc>
      </w:tr>
      <w:tr>
        <w:trPr>
          <w:trHeight w:val="78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плана поступлений по доходам в местный бюджет, количество источников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&gt;/= 4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&gt;=2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&gt;/=0</w:t>
            </w:r>
          </w:p>
        </w:tc>
      </w:tr>
      <w:tr>
        <w:trPr>
          <w:trHeight w:val="8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задолженности в республиканский/местный бюджет от общего объема поступлений, 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 10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5-10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&lt;5</w:t>
            </w:r>
          </w:p>
        </w:tc>
      </w:tr>
      <w:tr>
        <w:trPr>
          <w:trHeight w:val="75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задолженности в республиканский/местный бюджет в сравнении с прошлым периодом, 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15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10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&lt;/=0</w:t>
            </w:r>
          </w:p>
        </w:tc>
      </w:tr>
      <w:tr>
        <w:trPr>
          <w:trHeight w:val="9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поступлений по доходам в республиканский/местный бюджет по сравнению с аналогичным периодом прошлого года, количество источников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&gt;/=0</w:t>
            </w:r>
          </w:p>
        </w:tc>
      </w:tr>
      <w:tr>
        <w:trPr>
          <w:trHeight w:val="9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налоговых и неналоговых поступлений республиканского/местного бюджета за отчетный период, млн. тенге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500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300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&gt;/=/&lt;100 </w:t>
            </w:r>
          </w:p>
        </w:tc>
      </w:tr>
      <w:tr>
        <w:trPr>
          <w:trHeight w:val="64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местного бюджета за отчетный период, 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120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&lt;/=115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110</w:t>
            </w:r>
          </w:p>
        </w:tc>
      </w:tr>
      <w:tr>
        <w:trPr>
          <w:trHeight w:val="61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 роста поступлений по сравнению с предыдущим отчетным периодом, 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107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&lt;/=115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&gt;/=125</w:t>
            </w:r>
          </w:p>
        </w:tc>
      </w:tr>
      <w:tr>
        <w:trPr>
          <w:trHeight w:val="70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 роста недоимки по сравнению с предыдущим  отчетным периодом, 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&gt;/=100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&gt;/=50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&gt;/=/&lt;0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 роста переплаты по сравнению с предыдущим отчетным периодом, 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&gt;/=100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&gt;/=50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&gt;/=/&lt;0</w:t>
            </w:r>
          </w:p>
        </w:tc>
      </w:tr>
      <w:tr>
        <w:trPr>
          <w:trHeight w:val="60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взыскания доначисленных сумм по актам налоговых проверок, 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&lt;/=90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&lt;/=95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&lt;/=100</w:t>
            </w:r>
          </w:p>
        </w:tc>
      </w:tr>
      <w:tr>
        <w:trPr>
          <w:trHeight w:val="855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последней проверки органами государственного финансового контроля, год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&gt;/=1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года</w:t>
            </w:r>
          </w:p>
        </w:tc>
      </w:tr>
      <w:tr>
        <w:trPr>
          <w:trHeight w:val="51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выявленных нарушений, млн. тенге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1,0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&gt;/=0,5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0</w:t>
            </w:r>
          </w:p>
        </w:tc>
      </w:tr>
      <w:tr>
        <w:trPr>
          <w:trHeight w:val="57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рекомендаций органа контроля, в %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&lt;/=90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&lt;/=95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Типовой системе управления рисками,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которая применяется при планировании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проведении внешнего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 КРИТЕРИЕВ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 отнесению государственных органов,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деятельность по обеспечению полноты и своевременности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поступлений в республиканский/местный бюджет,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к группам риска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(за исключением налоговых органов)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595"/>
        <w:gridCol w:w="1977"/>
        <w:gridCol w:w="2309"/>
        <w:gridCol w:w="3219"/>
      </w:tblGrid>
      <w:tr>
        <w:trPr>
          <w:trHeight w:val="300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п/п</w:t>
            </w:r>
          </w:p>
        </w:tc>
        <w:tc>
          <w:tcPr>
            <w:tcW w:w="5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Группы риска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высокой степени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средней степени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минимальной степени </w:t>
            </w:r>
          </w:p>
        </w:tc>
      </w:tr>
      <w:tr>
        <w:trPr>
          <w:trHeight w:val="9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в местный бюджет,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тенге*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Текучесть кадров от общего числа работников, в %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0</w:t>
            </w:r>
          </w:p>
        </w:tc>
      </w:tr>
      <w:tr>
        <w:trPr>
          <w:trHeight w:val="9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последней проверки органами государственного финансового контроля, год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&gt;/=0</w:t>
            </w:r>
          </w:p>
        </w:tc>
      </w:tr>
      <w:tr>
        <w:trPr>
          <w:trHeight w:val="9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выявленных нарушений, млн. тенге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1,0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&gt;/=0,5 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0</w:t>
            </w:r>
          </w:p>
        </w:tc>
      </w:tr>
      <w:tr>
        <w:trPr>
          <w:trHeight w:val="90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рекомендаций органа контроля, в %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&lt;/=90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&lt;/=95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по данному критерию ревизионными комиссиями самостоятельно определяются два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– для областного уровня, второй – для районного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Типовой системе управления рисками,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которая применяется при планировании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проведении внешнего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 КРИТЕРИЕВ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по отнесению программных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(государственных и отраслевых программ, разработанных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в ее реализацию), к группам риска 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3314"/>
        <w:gridCol w:w="1632"/>
        <w:gridCol w:w="1717"/>
        <w:gridCol w:w="2079"/>
        <w:gridCol w:w="4230"/>
      </w:tblGrid>
      <w:tr>
        <w:trPr>
          <w:trHeight w:val="36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п/п</w:t>
            </w:r>
          </w:p>
        </w:tc>
        <w:tc>
          <w:tcPr>
            <w:tcW w:w="3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Группы риска</w:t>
            </w:r>
          </w:p>
        </w:tc>
        <w:tc>
          <w:tcPr>
            <w:tcW w:w="4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Описание показателей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высокой степени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средней степени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минимальной степени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финансирования, в млрд. тенге **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из нормативных правовых актов отчетов Министерства финансов Республики Казахстан</w:t>
            </w:r>
          </w:p>
        </w:tc>
      </w:tr>
      <w:tr>
        <w:trPr>
          <w:trHeight w:val="9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исполнитель программного документа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высокой степени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степени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минимальной степени 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из паспорта программного документа</w:t>
            </w:r>
          </w:p>
        </w:tc>
      </w:tr>
      <w:tr>
        <w:trPr>
          <w:trHeight w:val="16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бюджетных программ, реализуемых в целях исполнения мероприятий по программному документу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20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10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Министерства Финансов</w:t>
            </w:r>
          </w:p>
        </w:tc>
      </w:tr>
      <w:tr>
        <w:trPr>
          <w:trHeight w:val="19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бюджетных инвестиционных проектов, реализуемых в целях исполнения мероприятий по программному документу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20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10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Министерства Финансов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несвоевременно реализуемых бюджетных инвестиционных проектов в рамках программного документа от их общего количества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Министерства Финансов из отчета по мониторингу</w:t>
            </w:r>
          </w:p>
        </w:tc>
      </w:tr>
      <w:tr>
        <w:trPr>
          <w:trHeight w:val="23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недостигнутых целевых индикаторов от общего количества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Министерства экономики и бюджетного планирования из отчетов о реализации государственных и отраслевых программ, разработанных в ее реализацию по итогам года</w:t>
            </w:r>
          </w:p>
        </w:tc>
      </w:tr>
      <w:tr>
        <w:trPr>
          <w:trHeight w:val="15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недостигнутых показателей результата от общего количества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Министерства экономики и бюджетного планирования из отчетов о реализации государственных и отраслевых программ, разработанных в ее реализацию по итогам года</w:t>
            </w:r>
          </w:p>
        </w:tc>
      </w:tr>
      <w:tr>
        <w:trPr>
          <w:trHeight w:val="18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невыполненных мероприятий от общего количества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5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Министерства экономики и бюджетного планирования из отчетов о реализации государственных и отраслевых программ, разработанных в ее реализацию по итогам года</w:t>
            </w:r>
          </w:p>
        </w:tc>
      </w:tr>
      <w:tr>
        <w:trPr>
          <w:trHeight w:val="18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вовлеченных в реализацию программы государственных органов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&lt;5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Министерства экономики и бюджетного планирования из отчетов о реализации государственных и отраслевых программ, разработанных в ее реализацию по итогам года</w:t>
            </w:r>
          </w:p>
        </w:tc>
      </w:tr>
      <w:tr>
        <w:trPr>
          <w:trHeight w:val="18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 (доля финансирования из республиканского бюджета)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60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20-60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20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Министерства экономики и бюджетного планирования из отчетов о реализации государственных и отраслевых программ, разработанных в ее реализацию по итогам года</w:t>
            </w:r>
          </w:p>
        </w:tc>
      </w:tr>
      <w:tr>
        <w:trPr>
          <w:trHeight w:val="18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реализуемых мероприятий в рамках программного документа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30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15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Министерства экономики и бюджетного планирования из отчетов о реализации государственных и отраслевых программ, разработанных в ее реализацию по итогам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данный блок используется только Счетным комитетом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**по данному критерию пороговые значения определяются Счетным комитетом самостоятельно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Типовой системе управления рисками,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которая применяется при планировании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проведении внешнего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ПЕРЕЧЕНЬ КРИТЕРИЕВ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по отнесению субъектов квазигосударственного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сектора к группам риска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206"/>
        <w:gridCol w:w="2064"/>
        <w:gridCol w:w="2503"/>
        <w:gridCol w:w="2484"/>
      </w:tblGrid>
      <w:tr>
        <w:trPr>
          <w:trHeight w:val="30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п/п</w:t>
            </w:r>
          </w:p>
        </w:tc>
        <w:tc>
          <w:tcPr>
            <w:tcW w:w="6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Группы риска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высокой степени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средней степени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минимальной степени </w:t>
            </w:r>
          </w:p>
        </w:tc>
      </w:tr>
      <w:tr>
        <w:trPr>
          <w:trHeight w:val="4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средств, выделенных из государственного бюджета*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Рост/снижение размера уставного капитала, в %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&lt;/= -15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&gt;/=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&lt;/= -10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&gt;/=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дочерних и ассоциированных организаций, в единицах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&gt;/=0</w:t>
            </w:r>
          </w:p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Рост/снижение прибыли по сравнению с предыдущим периодом, в %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&lt;/=10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10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административных расходов от общего объема расходов, в %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30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20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&gt;/=/&lt; 10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выплаченных дивидендов от прибыли, в %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&gt;/= 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&lt;/= 10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10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50</w:t>
            </w:r>
          </w:p>
        </w:tc>
      </w:tr>
      <w:tr>
        <w:trPr>
          <w:trHeight w:val="16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последней проверки, год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 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&gt;/=/&lt;1</w:t>
            </w:r>
          </w:p>
        </w:tc>
      </w:tr>
      <w:tr>
        <w:trPr>
          <w:trHeight w:val="49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рекомендаций органа контроля, в %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&lt;/= 60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&lt;/= 80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&lt;/= 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по данному критерию ревизионными комиссиями самостоятельно определяются два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– для областного уровня, второй – для районного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Типовой системе управления рисками,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которая применяется при планировании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проведении внешнего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 Анализ полноты охвата тематическими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контрольными мероприятиями органов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финансового контроля за два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(в разрезе каждого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6706"/>
        <w:gridCol w:w="2974"/>
        <w:gridCol w:w="3351"/>
      </w:tblGrid>
      <w:tr>
        <w:trPr>
          <w:trHeight w:val="315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Б/п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20хх год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20хх год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объем бюджетных средств, выделенных за последние два года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средств, охваченный контролем органа контроля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бюджетной программы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охваченные тематическим контролем органа контроля бюджетные программы заливаются красным цветом. Охваченные тематическим контролем Комитета финансового контроля Министерства финансов Республики Казахстан и его территориальных подразделений бюджетные программы заливаются желтым цветом Бюджетные программы, не охваченные контролем заливаются голубым цветом.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Типовой системе управления рисками,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которая применяется при планировании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проведении внешнего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Анализ полноты охвата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тематическими контрольными мероприятиями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государственного финансового контроля за два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(сводная по всем государственным органам)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2192"/>
        <w:gridCol w:w="2214"/>
        <w:gridCol w:w="2624"/>
        <w:gridCol w:w="2516"/>
        <w:gridCol w:w="1805"/>
        <w:gridCol w:w="1805"/>
      </w:tblGrid>
      <w:tr>
        <w:trPr>
          <w:trHeight w:val="15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охвата контролем бюджетных средств, выделенных за два года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контролем бюджетных средств, выделенных в 20XX-20XX гг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государственного органа за два года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20XX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20XX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