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7ee5" w14:textId="cdc7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мер раннего реагирования и методики определения факторов, влияющих на ухудшение финансового положения банка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февраля 2013 года № 73. Зарегистрировано в Министерстве юстиции Республики Казахстан 10 апреля 2013 года № 8416. Утратило силу постановлением Правления Национального Банка Республики Казахстан от 23 апреля 2014 года № 68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23.04.2014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мер раннего реагирования и методики определения факторов, влияющих на ухудшение финансового положения банка второго уровня (далее – Правила).</w:t>
      </w:r>
      <w:r>
        <w:br/>
      </w:r>
      <w:r>
        <w:rPr>
          <w:rFonts w:ascii="Times New Roman"/>
          <w:b w:val="false"/>
          <w:i w:val="false"/>
          <w:color w:val="000000"/>
          <w:sz w:val="28"/>
        </w:rPr>
        <w:t>
</w:t>
      </w:r>
      <w:r>
        <w:rPr>
          <w:rFonts w:ascii="Times New Roman"/>
          <w:b w:val="false"/>
          <w:i w:val="false"/>
          <w:color w:val="000000"/>
          <w:sz w:val="28"/>
        </w:rPr>
        <w:t>
      2. Банки второго уровня осуществляют прогнозный расчет фактора, предусмотренного подпунктом 9) </w:t>
      </w:r>
      <w:r>
        <w:rPr>
          <w:rFonts w:ascii="Times New Roman"/>
          <w:b w:val="false"/>
          <w:i w:val="false"/>
          <w:color w:val="000000"/>
          <w:sz w:val="28"/>
        </w:rPr>
        <w:t>пункта 1</w:t>
      </w:r>
      <w:r>
        <w:rPr>
          <w:rFonts w:ascii="Times New Roman"/>
          <w:b w:val="false"/>
          <w:i w:val="false"/>
          <w:color w:val="000000"/>
          <w:sz w:val="28"/>
        </w:rPr>
        <w:t xml:space="preserve"> Правил, по состоянию на 1 января 2014 года.</w:t>
      </w:r>
      <w:r>
        <w:br/>
      </w:r>
      <w:r>
        <w:rPr>
          <w:rFonts w:ascii="Times New Roman"/>
          <w:b w:val="false"/>
          <w:i w:val="false"/>
          <w:color w:val="000000"/>
          <w:sz w:val="28"/>
        </w:rPr>
        <w:t>
</w:t>
      </w:r>
      <w:r>
        <w:rPr>
          <w:rFonts w:ascii="Times New Roman"/>
          <w:b w:val="false"/>
          <w:i w:val="false"/>
          <w:color w:val="000000"/>
          <w:sz w:val="28"/>
        </w:rPr>
        <w:t>
      В случае выявления фактора, предусмотренного подпунктом 9) </w:t>
      </w:r>
      <w:r>
        <w:rPr>
          <w:rFonts w:ascii="Times New Roman"/>
          <w:b w:val="false"/>
          <w:i w:val="false"/>
          <w:color w:val="000000"/>
          <w:sz w:val="28"/>
        </w:rPr>
        <w:t>пункта 1</w:t>
      </w:r>
      <w:r>
        <w:rPr>
          <w:rFonts w:ascii="Times New Roman"/>
          <w:b w:val="false"/>
          <w:i w:val="false"/>
          <w:color w:val="000000"/>
          <w:sz w:val="28"/>
        </w:rPr>
        <w:t xml:space="preserve"> Правил, банки второго уровня в срок до 1 октября 2013 года представляют в Комитет по контролю и надзору финансового рынка и финансовых организаций Национального Банка Республики Казахстан план мероприятий, предусматривающий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его деятельностью,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380 «Об утверждении Правил применения мер раннего реагирования и методики определения факторов, влияющих на ухудшение финансового положения банка второго уровня» (зарегистрированное в Реестре государственной регистрации нормативных правовых актов под № 8322).</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июля 2013 года.</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26.07.2013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2013 года № 73</w:t>
      </w:r>
    </w:p>
    <w:bookmarkEnd w:id="1"/>
    <w:bookmarkStart w:name="z8" w:id="2"/>
    <w:p>
      <w:pPr>
        <w:spacing w:after="0"/>
        <w:ind w:left="0"/>
        <w:jc w:val="left"/>
      </w:pPr>
      <w:r>
        <w:rPr>
          <w:rFonts w:ascii="Times New Roman"/>
          <w:b/>
          <w:i w:val="false"/>
          <w:color w:val="000000"/>
        </w:rPr>
        <w:t xml:space="preserve"> 
Правила применения мер раннего реагирования и методики</w:t>
      </w:r>
      <w:r>
        <w:br/>
      </w:r>
      <w:r>
        <w:rPr>
          <w:rFonts w:ascii="Times New Roman"/>
          <w:b/>
          <w:i w:val="false"/>
          <w:color w:val="000000"/>
        </w:rPr>
        <w:t>
определения факторов, влияющих на ухудшение финансового</w:t>
      </w:r>
      <w:r>
        <w:br/>
      </w:r>
      <w:r>
        <w:rPr>
          <w:rFonts w:ascii="Times New Roman"/>
          <w:b/>
          <w:i w:val="false"/>
          <w:color w:val="000000"/>
        </w:rPr>
        <w:t>
положения банка второго уровня</w:t>
      </w:r>
    </w:p>
    <w:bookmarkEnd w:id="2"/>
    <w:bookmarkStart w:name="z9" w:id="3"/>
    <w:p>
      <w:pPr>
        <w:spacing w:after="0"/>
        <w:ind w:left="0"/>
        <w:jc w:val="both"/>
      </w:pPr>
      <w:r>
        <w:rPr>
          <w:rFonts w:ascii="Times New Roman"/>
          <w:b w:val="false"/>
          <w:i w:val="false"/>
          <w:color w:val="000000"/>
          <w:sz w:val="28"/>
        </w:rPr>
        <w:t>      Настоящие Правила применения мер раннего реагирования и методики определения факторов, влияющих на ухудшение финансового положения банка второго уровня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устанавливают порядок применения мер раннего реагирования и методику определения факторов, влияющих на ухудшение финансового положения банка второго уровня (далее - банк).</w:t>
      </w:r>
      <w:r>
        <w:br/>
      </w:r>
      <w:r>
        <w:rPr>
          <w:rFonts w:ascii="Times New Roman"/>
          <w:b w:val="false"/>
          <w:i w:val="false"/>
          <w:color w:val="000000"/>
          <w:sz w:val="28"/>
        </w:rPr>
        <w:t>
      Комитет по контролю и надзору финансового рынка и финансовых организаций Национального Банка Республики Казахстан (далее – Комитет) применяет к банку меры раннего реагирования при выявлении факторов, влияющих на ухудшение финансового положения банка.</w:t>
      </w:r>
      <w:r>
        <w:br/>
      </w:r>
      <w:r>
        <w:rPr>
          <w:rFonts w:ascii="Times New Roman"/>
          <w:b w:val="false"/>
          <w:i w:val="false"/>
          <w:color w:val="000000"/>
          <w:sz w:val="28"/>
        </w:rPr>
        <w:t>
</w:t>
      </w:r>
      <w:r>
        <w:rPr>
          <w:rFonts w:ascii="Times New Roman"/>
          <w:b w:val="false"/>
          <w:i w:val="false"/>
          <w:color w:val="000000"/>
          <w:sz w:val="28"/>
        </w:rPr>
        <w:t>
      1. Факторами, влияющими на ухудшение финансового положения банка, являются:</w:t>
      </w:r>
      <w:r>
        <w:br/>
      </w:r>
      <w:r>
        <w:rPr>
          <w:rFonts w:ascii="Times New Roman"/>
          <w:b w:val="false"/>
          <w:i w:val="false"/>
          <w:color w:val="000000"/>
          <w:sz w:val="28"/>
        </w:rPr>
        <w:t>
      1) снижение коэффициентов достаточности собственного капитала;</w:t>
      </w:r>
      <w:r>
        <w:br/>
      </w:r>
      <w:r>
        <w:rPr>
          <w:rFonts w:ascii="Times New Roman"/>
          <w:b w:val="false"/>
          <w:i w:val="false"/>
          <w:color w:val="000000"/>
          <w:sz w:val="28"/>
        </w:rPr>
        <w:t>
      2) увеличение соотношения чистых классифицированных займов к собственному капиталу;</w:t>
      </w:r>
      <w:r>
        <w:br/>
      </w:r>
      <w:r>
        <w:rPr>
          <w:rFonts w:ascii="Times New Roman"/>
          <w:b w:val="false"/>
          <w:i w:val="false"/>
          <w:color w:val="000000"/>
          <w:sz w:val="28"/>
        </w:rPr>
        <w:t>
      3) увеличение доли непогашенного основного долга классифицированных займов физическим лицам в совокупном объеме основного долга займов физическим лицам;</w:t>
      </w:r>
      <w:r>
        <w:br/>
      </w:r>
      <w:r>
        <w:rPr>
          <w:rFonts w:ascii="Times New Roman"/>
          <w:b w:val="false"/>
          <w:i w:val="false"/>
          <w:color w:val="000000"/>
          <w:sz w:val="28"/>
        </w:rPr>
        <w:t>
      4) увеличение доли непогашенного основного долга классифицированных займов юридическим лицам в совокупном объеме основного долга займов юридическим лицам;</w:t>
      </w:r>
      <w:r>
        <w:br/>
      </w:r>
      <w:r>
        <w:rPr>
          <w:rFonts w:ascii="Times New Roman"/>
          <w:b w:val="false"/>
          <w:i w:val="false"/>
          <w:color w:val="000000"/>
          <w:sz w:val="28"/>
        </w:rPr>
        <w:t>
      5) увеличение доли непогашенного основного долга классифицированных займов по основному (основным) направлению (направлениям) (отрасли (отраслям) кредитования в совокупном объеме основного долга займов клиентам - физическим и юридическим лицам (за исключением займов, выданных банкам и организациям, осуществляющим отдельные виды банковских операций и операций «обратное РЕПО»);</w:t>
      </w:r>
      <w:r>
        <w:br/>
      </w:r>
      <w:r>
        <w:rPr>
          <w:rFonts w:ascii="Times New Roman"/>
          <w:b w:val="false"/>
          <w:i w:val="false"/>
          <w:color w:val="000000"/>
          <w:sz w:val="28"/>
        </w:rPr>
        <w:t>
      6) увеличение доли непогашенного основного долга займов, выданных на приобретение и строительство коммерческой и жилой недвижимости и ипотечных жилищных займов в совокупном объеме основного долга займов клиентам - физическим и юридическим лицам (за исключением займов, выданных банкам и организациям, осуществляющим отдельные виды банковских операций и операций «обратное РЕПО»);</w:t>
      </w:r>
      <w:r>
        <w:br/>
      </w:r>
      <w:r>
        <w:rPr>
          <w:rFonts w:ascii="Times New Roman"/>
          <w:b w:val="false"/>
          <w:i w:val="false"/>
          <w:color w:val="000000"/>
          <w:sz w:val="28"/>
        </w:rPr>
        <w:t>
      7) увеличение займов с просроченной задолженностью по основному долгу и (или) начисленному вознаграждению по кредитам для физических лиц свыше шестидесяти календарных дней и (или) для юридических лиц свыше тридцати календарных дней;</w:t>
      </w:r>
      <w:r>
        <w:br/>
      </w:r>
      <w:r>
        <w:rPr>
          <w:rFonts w:ascii="Times New Roman"/>
          <w:b w:val="false"/>
          <w:i w:val="false"/>
          <w:color w:val="000000"/>
          <w:sz w:val="28"/>
        </w:rPr>
        <w:t>
      8) увеличение в общем объеме ссудного портфеля банка займов с просроченной задолженностью по основному долгу и (или) начисленному вознаграждению свыше девяноста календарных дней;</w:t>
      </w:r>
      <w:r>
        <w:br/>
      </w:r>
      <w:r>
        <w:rPr>
          <w:rFonts w:ascii="Times New Roman"/>
          <w:b w:val="false"/>
          <w:i w:val="false"/>
          <w:color w:val="000000"/>
          <w:sz w:val="28"/>
        </w:rPr>
        <w:t>
      9) превышение отношения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к общему объему ссудного портфеля банка без учета сформированных резервов по нему;</w:t>
      </w:r>
      <w:r>
        <w:br/>
      </w:r>
      <w:r>
        <w:rPr>
          <w:rFonts w:ascii="Times New Roman"/>
          <w:b w:val="false"/>
          <w:i w:val="false"/>
          <w:color w:val="000000"/>
          <w:sz w:val="28"/>
        </w:rPr>
        <w:t>
      10)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w:t>
      </w:r>
      <w:r>
        <w:br/>
      </w:r>
      <w:r>
        <w:rPr>
          <w:rFonts w:ascii="Times New Roman"/>
          <w:b w:val="false"/>
          <w:i w:val="false"/>
          <w:color w:val="000000"/>
          <w:sz w:val="28"/>
        </w:rPr>
        <w:t>
      11) уменьшение доли активов, приносящих доход, в совокупных активах;</w:t>
      </w:r>
      <w:r>
        <w:br/>
      </w:r>
      <w:r>
        <w:rPr>
          <w:rFonts w:ascii="Times New Roman"/>
          <w:b w:val="false"/>
          <w:i w:val="false"/>
          <w:color w:val="000000"/>
          <w:sz w:val="28"/>
        </w:rPr>
        <w:t>
      12) снижение доли привлеченных вкладов физических и юридических лиц в сумме обязательств банка;</w:t>
      </w:r>
      <w:r>
        <w:br/>
      </w:r>
      <w:r>
        <w:rPr>
          <w:rFonts w:ascii="Times New Roman"/>
          <w:b w:val="false"/>
          <w:i w:val="false"/>
          <w:color w:val="000000"/>
          <w:sz w:val="28"/>
        </w:rPr>
        <w:t>
      13) уменьшение коэффициента рентабельности активов;</w:t>
      </w:r>
      <w:r>
        <w:br/>
      </w:r>
      <w:r>
        <w:rPr>
          <w:rFonts w:ascii="Times New Roman"/>
          <w:b w:val="false"/>
          <w:i w:val="false"/>
          <w:color w:val="000000"/>
          <w:sz w:val="28"/>
        </w:rPr>
        <w:t>
      14) уменьшение чистой процентной маржи;</w:t>
      </w:r>
      <w:r>
        <w:br/>
      </w:r>
      <w:r>
        <w:rPr>
          <w:rFonts w:ascii="Times New Roman"/>
          <w:b w:val="false"/>
          <w:i w:val="false"/>
          <w:color w:val="000000"/>
          <w:sz w:val="28"/>
        </w:rPr>
        <w:t>
      15) снижение спрэда;</w:t>
      </w:r>
      <w:r>
        <w:br/>
      </w:r>
      <w:r>
        <w:rPr>
          <w:rFonts w:ascii="Times New Roman"/>
          <w:b w:val="false"/>
          <w:i w:val="false"/>
          <w:color w:val="000000"/>
          <w:sz w:val="28"/>
        </w:rPr>
        <w:t>
      16) увеличение отношения операционных расходов к совокупной сумме доходов;</w:t>
      </w:r>
      <w:r>
        <w:br/>
      </w:r>
      <w:r>
        <w:rPr>
          <w:rFonts w:ascii="Times New Roman"/>
          <w:b w:val="false"/>
          <w:i w:val="false"/>
          <w:color w:val="000000"/>
          <w:sz w:val="28"/>
        </w:rPr>
        <w:t>
      17) снижение коэффициентов ликвидности.</w:t>
      </w:r>
      <w:r>
        <w:br/>
      </w:r>
      <w:r>
        <w:rPr>
          <w:rFonts w:ascii="Times New Roman"/>
          <w:b w:val="false"/>
          <w:i w:val="false"/>
          <w:color w:val="000000"/>
          <w:sz w:val="28"/>
        </w:rPr>
        <w:t>
      Под резервами понимаются резервы, сформированные в соответствии с требованиями международных стандартов финансовой отчетности.</w:t>
      </w:r>
      <w:r>
        <w:br/>
      </w:r>
      <w:r>
        <w:rPr>
          <w:rFonts w:ascii="Times New Roman"/>
          <w:b w:val="false"/>
          <w:i w:val="false"/>
          <w:color w:val="000000"/>
          <w:sz w:val="28"/>
        </w:rPr>
        <w:t>
      Под классифицированными займами понимаются займы, по которым, согласно данным бухгалтерского учета, сформированы резервы на уровне не менее 10 (десяти) процентов.</w:t>
      </w:r>
      <w:r>
        <w:br/>
      </w:r>
      <w:r>
        <w:rPr>
          <w:rFonts w:ascii="Times New Roman"/>
          <w:b w:val="false"/>
          <w:i w:val="false"/>
          <w:color w:val="000000"/>
          <w:sz w:val="28"/>
        </w:rPr>
        <w:t>
      В расчет займов (классифицированных, совокупных) включается сумма основного долга, в расчет чистых классифицированных займов включается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26.07.2013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Определение факторов, влияющих на ухудшение финансового положения банка,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Правил, осуществляется по следующей методике:</w:t>
      </w:r>
      <w:r>
        <w:br/>
      </w:r>
      <w:r>
        <w:rPr>
          <w:rFonts w:ascii="Times New Roman"/>
          <w:b w:val="false"/>
          <w:i w:val="false"/>
          <w:color w:val="000000"/>
          <w:sz w:val="28"/>
        </w:rPr>
        <w:t>
      1) снижение два и более раза в течение шести последовательных месяцев коэффициентов достаточности собственного капитала до или ниже уровня, превышающего на 0,02 (включительно) минимальные значения коэффициентов достаточности собственного капитала,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3924 (далее – постановление № 358);</w:t>
      </w:r>
      <w:r>
        <w:br/>
      </w:r>
      <w:r>
        <w:rPr>
          <w:rFonts w:ascii="Times New Roman"/>
          <w:b w:val="false"/>
          <w:i w:val="false"/>
          <w:color w:val="000000"/>
          <w:sz w:val="28"/>
        </w:rPr>
        <w:t>
      2) снижение коэффициентов достаточности собственного капитала при нахождении их первоначальных значений ниже уровня, превышающего на 0,02 (включительно) минимальные значения коэффициентов достаточности собственного капитала, установленные </w:t>
      </w:r>
      <w:r>
        <w:rPr>
          <w:rFonts w:ascii="Times New Roman"/>
          <w:b w:val="false"/>
          <w:i w:val="false"/>
          <w:color w:val="000000"/>
          <w:sz w:val="28"/>
        </w:rPr>
        <w:t>постановлением № 358</w:t>
      </w:r>
      <w:r>
        <w:rPr>
          <w:rFonts w:ascii="Times New Roman"/>
          <w:b w:val="false"/>
          <w:i w:val="false"/>
          <w:color w:val="000000"/>
          <w:sz w:val="28"/>
        </w:rPr>
        <w:t>;</w:t>
      </w:r>
      <w:r>
        <w:br/>
      </w:r>
      <w:r>
        <w:rPr>
          <w:rFonts w:ascii="Times New Roman"/>
          <w:b w:val="false"/>
          <w:i w:val="false"/>
          <w:color w:val="000000"/>
          <w:sz w:val="28"/>
        </w:rPr>
        <w:t>
      3) нахождение коэффициента достаточности собственного капитала (К1-2) ниже уровня, превышающего на 0,025 (включительно) минимальное значение коэффициента достаточности собственного капитала (К1-2), установленное </w:t>
      </w:r>
      <w:r>
        <w:rPr>
          <w:rFonts w:ascii="Times New Roman"/>
          <w:b w:val="false"/>
          <w:i w:val="false"/>
          <w:color w:val="000000"/>
          <w:sz w:val="28"/>
        </w:rPr>
        <w:t>постановлением № 358</w:t>
      </w:r>
      <w:r>
        <w:rPr>
          <w:rFonts w:ascii="Times New Roman"/>
          <w:b w:val="false"/>
          <w:i w:val="false"/>
          <w:color w:val="000000"/>
          <w:sz w:val="28"/>
        </w:rPr>
        <w:t>.</w:t>
      </w:r>
      <w:r>
        <w:br/>
      </w:r>
      <w:r>
        <w:rPr>
          <w:rFonts w:ascii="Times New Roman"/>
          <w:b w:val="false"/>
          <w:i w:val="false"/>
          <w:color w:val="000000"/>
          <w:sz w:val="28"/>
        </w:rPr>
        <w:t>
      Требования настоящего подпункта распространяются на банки, определенные системообразующими уполномоченным органом по регулированию, контролю и надзору финансового рынка и финансовых организаций (далее - уполномоченный орган);</w:t>
      </w:r>
      <w:r>
        <w:br/>
      </w:r>
      <w:r>
        <w:rPr>
          <w:rFonts w:ascii="Times New Roman"/>
          <w:b w:val="false"/>
          <w:i w:val="false"/>
          <w:color w:val="000000"/>
          <w:sz w:val="28"/>
        </w:rPr>
        <w:t>
      4) увеличение в течение шести последовательных месяцев соотношения чистых классифицированных займов к собственному капиталу при условии, что на конец отчетного периода чистые классифицированные займы составляют более восьмидесяти процентов от собственного капитала, и при условии превышения размера роста классифицированных займов без учета сформированных резервов по ним над размером роста резервов в рассматриваемом периоде в абсолютном выражении, рассчитывается по следующей формуле:</w:t>
      </w:r>
    </w:p>
    <w:bookmarkEnd w:id="3"/>
    <w:p>
      <w:pPr>
        <w:spacing w:after="0"/>
        <w:ind w:left="0"/>
        <w:jc w:val="both"/>
      </w:pPr>
      <w:r>
        <w:drawing>
          <wp:inline distT="0" distB="0" distL="0" distR="0">
            <wp:extent cx="6781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736600"/>
                    </a:xfrm>
                    <a:prstGeom prst="rect">
                      <a:avLst/>
                    </a:prstGeom>
                  </pic:spPr>
                </pic:pic>
              </a:graphicData>
            </a:graphic>
          </wp:inline>
        </w:drawing>
      </w:r>
    </w:p>
    <w:p>
      <w:pPr>
        <w:spacing w:after="0"/>
        <w:ind w:left="0"/>
        <w:jc w:val="both"/>
      </w:pPr>
      <w:r>
        <w:rPr>
          <w:rFonts w:ascii="Times New Roman"/>
          <w:b w:val="false"/>
          <w:i w:val="false"/>
          <w:color w:val="000000"/>
          <w:sz w:val="28"/>
        </w:rPr>
        <w:t>      при условии:</w:t>
      </w:r>
    </w:p>
    <w:p>
      <w:pPr>
        <w:spacing w:after="0"/>
        <w:ind w:left="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46800" cy="4572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ЧКЗ (месяц) - чистые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за вычетом созданных по ним резервов;</w:t>
      </w:r>
      <w:r>
        <w:br/>
      </w:r>
      <w:r>
        <w:rPr>
          <w:rFonts w:ascii="Times New Roman"/>
          <w:b w:val="false"/>
          <w:i w:val="false"/>
          <w:color w:val="000000"/>
          <w:sz w:val="28"/>
        </w:rPr>
        <w:t>
      СК (месяц) - собственный капитал на конец определенного месяца рассматриваемого периода, рассчитанный в соответствии с </w:t>
      </w:r>
      <w:r>
        <w:rPr>
          <w:rFonts w:ascii="Times New Roman"/>
          <w:b w:val="false"/>
          <w:i w:val="false"/>
          <w:color w:val="000000"/>
          <w:sz w:val="28"/>
        </w:rPr>
        <w:t>постановлением № 358</w:t>
      </w:r>
      <w:r>
        <w:rPr>
          <w:rFonts w:ascii="Times New Roman"/>
          <w:b w:val="false"/>
          <w:i w:val="false"/>
          <w:color w:val="000000"/>
          <w:sz w:val="28"/>
        </w:rPr>
        <w:t>;</w:t>
      </w:r>
      <w:r>
        <w:br/>
      </w:r>
      <w:r>
        <w:rPr>
          <w:rFonts w:ascii="Times New Roman"/>
          <w:b w:val="false"/>
          <w:i w:val="false"/>
          <w:color w:val="000000"/>
          <w:sz w:val="28"/>
        </w:rPr>
        <w:t>
      КЗБ (месяц) -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Пр (месяц) - размер созданных резервов по классифицированным займам на конец определенного месяца рассматриваемого периода;</w:t>
      </w:r>
      <w:r>
        <w:br/>
      </w:r>
      <w:r>
        <w:rPr>
          <w:rFonts w:ascii="Times New Roman"/>
          <w:b w:val="false"/>
          <w:i w:val="false"/>
          <w:color w:val="000000"/>
          <w:sz w:val="28"/>
        </w:rPr>
        <w:t>
      5) увеличение доли классифицированных займов физическим лицам без учета сформированных резервов по ним в совокупных займах физическим лицам без учета сформированных резервов по ним в течение шести последовательных месяцев рассчитывается по следующей формуле:</w:t>
      </w:r>
    </w:p>
    <w:p>
      <w:pPr>
        <w:spacing w:after="0"/>
        <w:ind w:left="0"/>
        <w:jc w:val="both"/>
      </w:pPr>
      <w:r>
        <w:drawing>
          <wp:inline distT="0" distB="0" distL="0" distR="0">
            <wp:extent cx="6934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34200" cy="7747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КЗФ (месяц) - классифицированные займы физическим лицам (включая займы индивидуальным предпринимателям)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СЗФ (месяц) - совокупные займы физическим лицам (включая займы индивидуальным предпринимателям)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drawing>
          <wp:inline distT="0" distB="0" distL="0" distR="0">
            <wp:extent cx="4597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97400" cy="736600"/>
                    </a:xfrm>
                    <a:prstGeom prst="rect">
                      <a:avLst/>
                    </a:prstGeom>
                  </pic:spPr>
                </pic:pic>
              </a:graphicData>
            </a:graphic>
          </wp:inline>
        </w:drawing>
      </w:r>
    </w:p>
    <w:p>
      <w:pPr>
        <w:spacing w:after="0"/>
        <w:ind w:left="0"/>
        <w:jc w:val="both"/>
      </w:pPr>
      <w:r>
        <w:rPr>
          <w:rFonts w:ascii="Times New Roman"/>
          <w:b w:val="false"/>
          <w:i w:val="false"/>
          <w:color w:val="000000"/>
          <w:sz w:val="28"/>
        </w:rPr>
        <w:t>      6) увеличение доли классифицированных займов юридическим лицам без учета сформированных резервов по ним в совокупных займах юридическим лицам без учета сформированных резервов по ним в течение шести последовательных месяцев рассчитывается по следующей формуле:</w:t>
      </w:r>
    </w:p>
    <w:p>
      <w:pPr>
        <w:spacing w:after="0"/>
        <w:ind w:left="0"/>
        <w:jc w:val="both"/>
      </w:pPr>
      <w:r>
        <w:drawing>
          <wp:inline distT="0" distB="0" distL="0" distR="0">
            <wp:extent cx="7188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6985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КЗЮ (месяц) - классифицированные займы юридическим лицам (включая займы субъектам малого и среднего предпринимательства, за исключением займов банкам и организациям, осуществляющим отдельные виды банковских операций)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СЗЮ (месяц) - совокупные займы юридическим лицам (включая займы субъектам малого и среднего предпринимательства, за исключением займов банкам и организациям, осуществляющим отдельные виды банковских операций)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drawing>
          <wp:inline distT="0" distB="0" distL="0" distR="0">
            <wp:extent cx="4648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48200" cy="711200"/>
                    </a:xfrm>
                    <a:prstGeom prst="rect">
                      <a:avLst/>
                    </a:prstGeom>
                  </pic:spPr>
                </pic:pic>
              </a:graphicData>
            </a:graphic>
          </wp:inline>
        </w:drawing>
      </w:r>
    </w:p>
    <w:p>
      <w:pPr>
        <w:spacing w:after="0"/>
        <w:ind w:left="0"/>
        <w:jc w:val="both"/>
      </w:pPr>
      <w:r>
        <w:rPr>
          <w:rFonts w:ascii="Times New Roman"/>
          <w:b w:val="false"/>
          <w:i w:val="false"/>
          <w:color w:val="000000"/>
          <w:sz w:val="28"/>
        </w:rPr>
        <w:t>      7) увеличение доли классифицированных займов по основному (основным) направлению (направлениям) (отрасли (отраслям)) кредитования без учета сформированных резервов по ним в совокупных займах клиентам - физическим и юридическим лицам (включая займы индивидуальным предпринимателям, займы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в течение шести последовательных месяцев рассчитывается по следующей формуле:</w:t>
      </w:r>
    </w:p>
    <w:p>
      <w:pPr>
        <w:spacing w:after="0"/>
        <w:ind w:left="0"/>
        <w:jc w:val="both"/>
      </w:pPr>
      <w:r>
        <w:drawing>
          <wp:inline distT="0" distB="0" distL="0" distR="0">
            <wp:extent cx="6769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69100" cy="762000"/>
                    </a:xfrm>
                    <a:prstGeom prst="rect">
                      <a:avLst/>
                    </a:prstGeom>
                  </pic:spPr>
                </pic:pic>
              </a:graphicData>
            </a:graphic>
          </wp:inline>
        </w:drawing>
      </w:r>
    </w:p>
    <w:p>
      <w:pPr>
        <w:spacing w:after="0"/>
        <w:ind w:left="0"/>
        <w:jc w:val="both"/>
      </w:pPr>
      <w:r>
        <w:drawing>
          <wp:inline distT="0" distB="0" distL="0" distR="0">
            <wp:extent cx="1892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92300" cy="7747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КЗО (месяц) - классифицированные займы по основному (основным) направлению (направлениям) (отрасли (отраслям)) кредитования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СЗ (месяц) - совокупные займы клиентам физическим и юридическим лицам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ЗО (месяц) – займы физическим лицам (включая индивидуальных предпринимателей) без учета сформированных резервов по ним, либо займы субъектам малого и среднего предпринимательства, без учета сформированных резервов, либо займы юридическим лицам (за исключением займов, выданных банкам и организациям, осуществляющим отдельные виды банковских операций) одной отрасли, без учета сформированных резервов по ним, доля которых в совокупных займах клиентам - физическим и юридическим лицам (включая займы индивидуальным предпринимателям и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составляет на конец рассматриваемого периода двадцать и более процентов.</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drawing>
          <wp:inline distT="0" distB="0" distL="0" distR="0">
            <wp:extent cx="458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84700" cy="711200"/>
                    </a:xfrm>
                    <a:prstGeom prst="rect">
                      <a:avLst/>
                    </a:prstGeom>
                  </pic:spPr>
                </pic:pic>
              </a:graphicData>
            </a:graphic>
          </wp:inline>
        </w:drawing>
      </w:r>
    </w:p>
    <w:p>
      <w:pPr>
        <w:spacing w:after="0"/>
        <w:ind w:left="0"/>
        <w:jc w:val="both"/>
      </w:pPr>
      <w:r>
        <w:rPr>
          <w:rFonts w:ascii="Times New Roman"/>
          <w:b w:val="false"/>
          <w:i w:val="false"/>
          <w:color w:val="000000"/>
          <w:sz w:val="28"/>
        </w:rPr>
        <w:t>      8) увеличение доли займов, выданных на приобретение и строительство коммерческой и жилой недвижимости и ипотечных жилищных займов без учета сформированных резервов по ним в совокупных займах клиентам - физическим и юридическим лицам (за исключением займов, выданных банкам и организациям, осуществляющим отдельные виды банковских операций), без учета сформированных резервов по ним в течение шести последовательных месяцев, рассчитывается по следующей формуле:</w:t>
      </w:r>
    </w:p>
    <w:p>
      <w:pPr>
        <w:spacing w:after="0"/>
        <w:ind w:left="0"/>
        <w:jc w:val="both"/>
      </w:pPr>
      <w:r>
        <w:drawing>
          <wp:inline distT="0" distB="0" distL="0" distR="0">
            <wp:extent cx="5537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37200" cy="800100"/>
                    </a:xfrm>
                    <a:prstGeom prst="rect">
                      <a:avLst/>
                    </a:prstGeom>
                  </pic:spPr>
                </pic:pic>
              </a:graphicData>
            </a:graphic>
          </wp:inline>
        </w:drawing>
      </w:r>
    </w:p>
    <w:p>
      <w:pPr>
        <w:spacing w:after="0"/>
        <w:ind w:left="0"/>
        <w:jc w:val="both"/>
      </w:pPr>
      <w:r>
        <w:drawing>
          <wp:inline distT="0" distB="0" distL="0" distR="0">
            <wp:extent cx="1841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41500" cy="635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З (месяц) - займы, выданные на приобретение и строительство коммерческой и жилой недвижимости и ипотечных жилищных займов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СЗ (месяц) - совокупные займы клиентам физическим лицам (включая займы индивидуальным предпринимателям) и юридическим лицам (включая займы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В расчет данного показателя включаются займы, выданные на приобретение и строительство коммерческой и жилой недвижимости и ипотечные жилищные займы без учета сформированных резервов по ним, доля которых в совокупных займах клиентам - физическим и юридическим лицам (включая займы индивидуальным предпринимателям, займы субъектам малого и среднего предпринимательства, за исключением займов, выданных банкам и организациям, осуществляющим отдельные виды банковских операций) без учета сформированных резервов по ним составляет на конец рассматриваемого периода более двадцати процентов.</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drawing>
          <wp:inline distT="0" distB="0" distL="0" distR="0">
            <wp:extent cx="4241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41800" cy="685800"/>
                    </a:xfrm>
                    <a:prstGeom prst="rect">
                      <a:avLst/>
                    </a:prstGeom>
                  </pic:spPr>
                </pic:pic>
              </a:graphicData>
            </a:graphic>
          </wp:inline>
        </w:drawing>
      </w:r>
    </w:p>
    <w:p>
      <w:pPr>
        <w:spacing w:after="0"/>
        <w:ind w:left="0"/>
        <w:jc w:val="both"/>
      </w:pPr>
      <w:r>
        <w:rPr>
          <w:rFonts w:ascii="Times New Roman"/>
          <w:b w:val="false"/>
          <w:i w:val="false"/>
          <w:color w:val="000000"/>
          <w:sz w:val="28"/>
        </w:rPr>
        <w:t>      9) увеличение за отчетный период займов с просроченной задолженностью по основному долгу и (или) начисленному вознаграждению по займам свыше шестидесяти календарных дней для физических лиц без учета сформированных резервов по ним и (или) тридцати календарных дней для юридических лиц без учета сформированных резервов по ним на пять и более процентов рассчитывается по следующей формуле:</w:t>
      </w:r>
    </w:p>
    <w:p>
      <w:pPr>
        <w:spacing w:after="0"/>
        <w:ind w:left="0"/>
        <w:jc w:val="both"/>
      </w:pPr>
      <w:r>
        <w:drawing>
          <wp:inline distT="0" distB="0" distL="0" distR="0">
            <wp:extent cx="6845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45300" cy="7239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ЗПФ60 - займы физических лиц (включая займы индивидуальным предпринимателям) с просроченной задолженностью по основному долгу и (или) начисленному вознаграждению по кредитам свыше шестидесяти календарных дней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ЗПЮ30 - займы юридических лиц (включая займы субъектов малого и среднего предпринимательства и за исключением займов, выданных банкам и организациям, осуществляющим отдельные виды банковских операций) с просроченной задолженностью по основному долгу и (или) начисленному вознаграждению по кредитам свыше тридцати календарных дней без учета сформированных резервов по ним на конец определенного месяца рассматриваемого периода;</w:t>
      </w:r>
      <w:r>
        <w:br/>
      </w:r>
      <w:r>
        <w:rPr>
          <w:rFonts w:ascii="Times New Roman"/>
          <w:b w:val="false"/>
          <w:i w:val="false"/>
          <w:color w:val="000000"/>
          <w:sz w:val="28"/>
        </w:rPr>
        <w:t>
      10) увеличение в течение шести последовательных месяцев в ссудном портфеле банка без учета сформированных резервов по нему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рассчитывается по следующей формуле:</w:t>
      </w:r>
    </w:p>
    <w:p>
      <w:pPr>
        <w:spacing w:after="0"/>
        <w:ind w:left="0"/>
        <w:jc w:val="both"/>
      </w:pPr>
      <w:r>
        <w:drawing>
          <wp:inline distT="0" distB="0" distL="0" distR="0">
            <wp:extent cx="7581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81900" cy="8763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ЗП90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w:t>
      </w:r>
      <w:r>
        <w:br/>
      </w:r>
      <w:r>
        <w:rPr>
          <w:rFonts w:ascii="Times New Roman"/>
          <w:b w:val="false"/>
          <w:i w:val="false"/>
          <w:color w:val="000000"/>
          <w:sz w:val="28"/>
        </w:rPr>
        <w:t>
      СП (месяц)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без учета сформированных резервов по нему.</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drawing>
          <wp:inline distT="0" distB="0" distL="0" distR="0">
            <wp:extent cx="476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62500" cy="711200"/>
                    </a:xfrm>
                    <a:prstGeom prst="rect">
                      <a:avLst/>
                    </a:prstGeom>
                  </pic:spPr>
                </pic:pic>
              </a:graphicData>
            </a:graphic>
          </wp:inline>
        </w:drawing>
      </w:r>
    </w:p>
    <w:p>
      <w:pPr>
        <w:spacing w:after="0"/>
        <w:ind w:left="0"/>
        <w:jc w:val="both"/>
      </w:pPr>
      <w:r>
        <w:rPr>
          <w:rFonts w:ascii="Times New Roman"/>
          <w:b w:val="false"/>
          <w:i w:val="false"/>
          <w:color w:val="000000"/>
          <w:sz w:val="28"/>
        </w:rPr>
        <w:t>      11) превышение отношения займов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w:t>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55700" cy="635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девяноста календарных дней без учета сформированных резервов по ним;</w:t>
      </w:r>
      <w:r>
        <w:br/>
      </w:r>
      <w:r>
        <w:rPr>
          <w:rFonts w:ascii="Times New Roman"/>
          <w:b w:val="false"/>
          <w:i w:val="false"/>
          <w:color w:val="000000"/>
          <w:sz w:val="28"/>
        </w:rPr>
        <w:t>
      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r>
        <w:br/>
      </w:r>
      <w:r>
        <w:rPr>
          <w:rFonts w:ascii="Times New Roman"/>
          <w:b w:val="false"/>
          <w:i w:val="false"/>
          <w:color w:val="000000"/>
          <w:sz w:val="28"/>
        </w:rPr>
        <w:t>
      С 1 января 2014 года указанное соотношение составляет не более 15 (пятнадцати) процентов;</w:t>
      </w:r>
      <w:r>
        <w:br/>
      </w:r>
      <w:r>
        <w:rPr>
          <w:rFonts w:ascii="Times New Roman"/>
          <w:b w:val="false"/>
          <w:i w:val="false"/>
          <w:color w:val="000000"/>
          <w:sz w:val="28"/>
        </w:rPr>
        <w:t>
      12)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 в течение шести последовательных месяцев рассчитывается по следующей формуле:</w:t>
      </w:r>
    </w:p>
    <w:p>
      <w:pPr>
        <w:spacing w:after="0"/>
        <w:ind w:left="0"/>
        <w:jc w:val="both"/>
      </w:pPr>
      <w:r>
        <w:drawing>
          <wp:inline distT="0" distB="0" distL="0" distR="0">
            <wp:extent cx="6731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731000" cy="7112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КДЗ (месяц) - классифицированная дебиторская задолженность без учета сформированных резервов по ней на конец определенного месяца рассматриваемого периода;</w:t>
      </w:r>
      <w:r>
        <w:br/>
      </w:r>
      <w:r>
        <w:rPr>
          <w:rFonts w:ascii="Times New Roman"/>
          <w:b w:val="false"/>
          <w:i w:val="false"/>
          <w:color w:val="000000"/>
          <w:sz w:val="28"/>
        </w:rPr>
        <w:t>
      ДЗ (месяц) - совокупная дебиторская задолженность без учета сформированных резервов по ней на конец определенного месяца рассматриваемого периода.</w:t>
      </w:r>
      <w:r>
        <w:br/>
      </w: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drawing>
          <wp:inline distT="0" distB="0" distL="0" distR="0">
            <wp:extent cx="4521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21200" cy="6985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не менее 10 (десяти) процентов. </w:t>
      </w:r>
      <w:r>
        <w:br/>
      </w:r>
      <w:r>
        <w:rPr>
          <w:rFonts w:ascii="Times New Roman"/>
          <w:b w:val="false"/>
          <w:i w:val="false"/>
          <w:color w:val="000000"/>
          <w:sz w:val="28"/>
        </w:rPr>
        <w:t>
      В расчет классифицированной дебиторской задолженности включается сумма основного долга;</w:t>
      </w:r>
      <w:r>
        <w:br/>
      </w:r>
      <w:r>
        <w:rPr>
          <w:rFonts w:ascii="Times New Roman"/>
          <w:b w:val="false"/>
          <w:i w:val="false"/>
          <w:color w:val="000000"/>
          <w:sz w:val="28"/>
        </w:rPr>
        <w:t>
      13) уменьшение доли активов, приносящих доход, в совокупных активах в течение шести последовательных месяцев рассчитывается по следующей формуле:</w:t>
      </w:r>
    </w:p>
    <w:p>
      <w:pPr>
        <w:spacing w:after="0"/>
        <w:ind w:left="0"/>
        <w:jc w:val="both"/>
      </w:pPr>
      <w:r>
        <w:drawing>
          <wp:inline distT="0" distB="0" distL="0" distR="0">
            <wp:extent cx="5880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880100" cy="7747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Ад (месяц) - активы, приносящие доход на конец определенного месяца рассматриваемого периода;</w:t>
      </w:r>
      <w:r>
        <w:br/>
      </w:r>
      <w:r>
        <w:rPr>
          <w:rFonts w:ascii="Times New Roman"/>
          <w:b w:val="false"/>
          <w:i w:val="false"/>
          <w:color w:val="000000"/>
          <w:sz w:val="28"/>
        </w:rPr>
        <w:t>
      A (месяц) - совокупные активы на конец определенного месяца рассматриваемого периода.</w:t>
      </w:r>
      <w:r>
        <w:br/>
      </w:r>
      <w:r>
        <w:rPr>
          <w:rFonts w:ascii="Times New Roman"/>
          <w:b w:val="false"/>
          <w:i w:val="false"/>
          <w:color w:val="000000"/>
          <w:sz w:val="28"/>
        </w:rPr>
        <w:t>
      При отсутствии в рассматриваемом периоде последовательного уменьшения, снижение данного показателя за отчетный период на пять и более процентных пунктов также является фактором, влияющим на ухудшение финансового положения банка, и рассчитывается по следующей формуле:</w:t>
      </w:r>
    </w:p>
    <w:p>
      <w:pPr>
        <w:spacing w:after="0"/>
        <w:ind w:left="0"/>
        <w:jc w:val="both"/>
      </w:pPr>
      <w:r>
        <w:drawing>
          <wp:inline distT="0" distB="0" distL="0" distR="0">
            <wp:extent cx="4521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21200" cy="749300"/>
                    </a:xfrm>
                    <a:prstGeom prst="rect">
                      <a:avLst/>
                    </a:prstGeom>
                  </pic:spPr>
                </pic:pic>
              </a:graphicData>
            </a:graphic>
          </wp:inline>
        </w:drawing>
      </w:r>
    </w:p>
    <w:p>
      <w:pPr>
        <w:spacing w:after="0"/>
        <w:ind w:left="0"/>
        <w:jc w:val="both"/>
      </w:pPr>
      <w:r>
        <w:rPr>
          <w:rFonts w:ascii="Times New Roman"/>
          <w:b w:val="false"/>
          <w:i w:val="false"/>
          <w:color w:val="000000"/>
          <w:sz w:val="28"/>
        </w:rPr>
        <w:t>      14) снижение за последние шесть месяцев отношения привлеченных вкладов физических и юридических лиц (в том числе текущих счетов) без учета вкладов других банков и вкладов дочерних организаций специального назначения (далее - SPV) в сумме обязательств банка на двадцать и более процентных пунктов при условии, что на начало рассматриваемого периода отношение вкладов физических и юридических лиц составляло более пятидесяти процентов от обязательств банка, рассчитывается по следующей формуле:</w:t>
      </w:r>
    </w:p>
    <w:p>
      <w:pPr>
        <w:spacing w:after="0"/>
        <w:ind w:left="0"/>
        <w:jc w:val="both"/>
      </w:pPr>
      <w:r>
        <w:drawing>
          <wp:inline distT="0" distB="0" distL="0" distR="0">
            <wp:extent cx="6477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477000" cy="762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В (месяц) - привлеченные вклады физических и юридических лиц (в том числе текущие счета) без учета вкладов других банков и вкладов SPV на конец определенного месяца рассматриваемого периода;</w:t>
      </w:r>
      <w:r>
        <w:br/>
      </w:r>
      <w:r>
        <w:rPr>
          <w:rFonts w:ascii="Times New Roman"/>
          <w:b w:val="false"/>
          <w:i w:val="false"/>
          <w:color w:val="000000"/>
          <w:sz w:val="28"/>
        </w:rPr>
        <w:t>
      О (месяц) - совокупные обязательства на конец определенного месяца рассматриваемого периода;</w:t>
      </w:r>
      <w:r>
        <w:br/>
      </w:r>
      <w:r>
        <w:rPr>
          <w:rFonts w:ascii="Times New Roman"/>
          <w:b w:val="false"/>
          <w:i w:val="false"/>
          <w:color w:val="000000"/>
          <w:sz w:val="28"/>
        </w:rPr>
        <w:t>
      15) уменьшение коэффициента рентабельности активов за последние шесть месяцев на один и более процентных пункта рассчитывается по следующей формуле:</w:t>
      </w:r>
    </w:p>
    <w:p>
      <w:pPr>
        <w:spacing w:after="0"/>
        <w:ind w:left="0"/>
        <w:jc w:val="both"/>
      </w:pPr>
      <w:r>
        <w:drawing>
          <wp:inline distT="0" distB="0" distL="0" distR="0">
            <wp:extent cx="476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62500" cy="368300"/>
                    </a:xfrm>
                    <a:prstGeom prst="rect">
                      <a:avLst/>
                    </a:prstGeom>
                  </pic:spPr>
                </pic:pic>
              </a:graphicData>
            </a:graphic>
          </wp:inline>
        </w:drawing>
      </w:r>
    </w:p>
    <w:p>
      <w:pPr>
        <w:spacing w:after="0"/>
        <w:ind w:left="0"/>
        <w:jc w:val="both"/>
      </w:pPr>
      <w:r>
        <w:rPr>
          <w:rFonts w:ascii="Times New Roman"/>
          <w:b w:val="false"/>
          <w:i w:val="false"/>
          <w:color w:val="000000"/>
          <w:sz w:val="28"/>
        </w:rPr>
        <w:t>      Коэффициент рентабельности активов рассчитывается как отношение нераспределенной чистой прибыли (непокрытого убытка) в годовом выражении к средней величине активов по следующей формуле:</w:t>
      </w:r>
    </w:p>
    <w:p>
      <w:pPr>
        <w:spacing w:after="0"/>
        <w:ind w:left="0"/>
        <w:jc w:val="both"/>
      </w:pPr>
      <w:r>
        <w:drawing>
          <wp:inline distT="0" distB="0" distL="0" distR="0">
            <wp:extent cx="297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71800" cy="8001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НЧП (НУ) (n) - нераспределенная чистая прибыль (непокрытый убыток), полученная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Аср (n) - средняя величина активов за определенный рассматриваемый период;</w:t>
      </w:r>
      <w:r>
        <w:br/>
      </w: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 xml:space="preserve"> - коэффициент корректировки, который рассчитывается по формуле:</w:t>
      </w:r>
    </w:p>
    <w:p>
      <w:pPr>
        <w:spacing w:after="0"/>
        <w:ind w:left="0"/>
        <w:jc w:val="both"/>
      </w:pPr>
      <w:r>
        <w:drawing>
          <wp:inline distT="0" distB="0" distL="0" distR="0">
            <wp:extent cx="90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01700" cy="558800"/>
                    </a:xfrm>
                    <a:prstGeom prst="rect">
                      <a:avLst/>
                    </a:prstGeom>
                  </pic:spPr>
                </pic:pic>
              </a:graphicData>
            </a:graphic>
          </wp:inline>
        </w:drawing>
      </w:r>
    </w:p>
    <w:p>
      <w:pPr>
        <w:spacing w:after="0"/>
        <w:ind w:left="0"/>
        <w:jc w:val="both"/>
      </w:pPr>
      <w:r>
        <w:rPr>
          <w:rFonts w:ascii="Times New Roman"/>
          <w:b w:val="false"/>
          <w:i w:val="false"/>
          <w:color w:val="000000"/>
          <w:sz w:val="28"/>
        </w:rPr>
        <w:t>      где М – количество истекших месяцев с начала соответствующего финансового года.</w:t>
      </w:r>
      <w:r>
        <w:br/>
      </w:r>
      <w:r>
        <w:rPr>
          <w:rFonts w:ascii="Times New Roman"/>
          <w:b w:val="false"/>
          <w:i w:val="false"/>
          <w:color w:val="000000"/>
          <w:sz w:val="28"/>
        </w:rPr>
        <w:t>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w:t>
      </w:r>
    </w:p>
    <w:p>
      <w:pPr>
        <w:spacing w:after="0"/>
        <w:ind w:left="0"/>
        <w:jc w:val="both"/>
      </w:pPr>
      <w:r>
        <w:drawing>
          <wp:inline distT="0" distB="0" distL="0" distR="0">
            <wp:extent cx="3327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27400" cy="8001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Acp (n) - средняя величина активов за определенный рассматриваемый период;</w:t>
      </w:r>
      <w:r>
        <w:br/>
      </w:r>
      <w:r>
        <w:rPr>
          <w:rFonts w:ascii="Times New Roman"/>
          <w:b w:val="false"/>
          <w:i w:val="false"/>
          <w:color w:val="000000"/>
          <w:sz w:val="28"/>
        </w:rPr>
        <w:t>
      А (0, 1....n) - размер активов на конец определенного месяца;</w:t>
      </w:r>
      <w:r>
        <w:br/>
      </w:r>
      <w:r>
        <w:rPr>
          <w:rFonts w:ascii="Times New Roman"/>
          <w:b w:val="false"/>
          <w:i w:val="false"/>
          <w:color w:val="000000"/>
          <w:sz w:val="28"/>
        </w:rPr>
        <w:t>
      n - количество истекших месяцев с начала соответствующего финансового года;</w:t>
      </w:r>
      <w:r>
        <w:br/>
      </w:r>
      <w:r>
        <w:rPr>
          <w:rFonts w:ascii="Times New Roman"/>
          <w:b w:val="false"/>
          <w:i w:val="false"/>
          <w:color w:val="000000"/>
          <w:sz w:val="28"/>
        </w:rPr>
        <w:t>
      16) уменьшение чистой процентной маржи за последние шесть месяцев на один и более процентных пункта рассчитывается по следующей формуле:</w:t>
      </w:r>
    </w:p>
    <w:p>
      <w:pPr>
        <w:spacing w:after="0"/>
        <w:ind w:left="0"/>
        <w:jc w:val="both"/>
      </w:pPr>
      <w:r>
        <w:drawing>
          <wp:inline distT="0" distB="0" distL="0" distR="0">
            <wp:extent cx="5295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95900" cy="406400"/>
                    </a:xfrm>
                    <a:prstGeom prst="rect">
                      <a:avLst/>
                    </a:prstGeom>
                  </pic:spPr>
                </pic:pic>
              </a:graphicData>
            </a:graphic>
          </wp:inline>
        </w:drawing>
      </w:r>
    </w:p>
    <w:p>
      <w:pPr>
        <w:spacing w:after="0"/>
        <w:ind w:left="0"/>
        <w:jc w:val="both"/>
      </w:pPr>
      <w:r>
        <w:rPr>
          <w:rFonts w:ascii="Times New Roman"/>
          <w:b w:val="false"/>
          <w:i w:val="false"/>
          <w:color w:val="000000"/>
          <w:sz w:val="28"/>
        </w:rPr>
        <w:t>      Чистая процентная маржа рассчитывается как отношение чистого процентного дохода банка (доходы, связанные с получением вознаграждения, за минусом расходов, связанных с выплатой вознаграждения) в годовом выражении к средней величине активов по следующей формуле:</w:t>
      </w:r>
    </w:p>
    <w:p>
      <w:pPr>
        <w:spacing w:after="0"/>
        <w:ind w:left="0"/>
        <w:jc w:val="both"/>
      </w:pPr>
      <w:r>
        <w:drawing>
          <wp:inline distT="0" distB="0" distL="0" distR="0">
            <wp:extent cx="2552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52700" cy="6985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ЧПМ%(n) - чистая процентная маржа;</w:t>
      </w:r>
      <w:r>
        <w:br/>
      </w:r>
      <w:r>
        <w:rPr>
          <w:rFonts w:ascii="Times New Roman"/>
          <w:b w:val="false"/>
          <w:i w:val="false"/>
          <w:color w:val="000000"/>
          <w:sz w:val="28"/>
        </w:rPr>
        <w:t>
      ЧД(n) - чистый доход, рассчитываемый по формуле:</w:t>
      </w:r>
    </w:p>
    <w:p>
      <w:pPr>
        <w:spacing w:after="0"/>
        <w:ind w:left="0"/>
        <w:jc w:val="both"/>
      </w:pPr>
      <w:r>
        <w:drawing>
          <wp:inline distT="0" distB="0" distL="0" distR="0">
            <wp:extent cx="283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832100" cy="4318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Дс%(n) - доходы, связанные с получением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Рс%(n) - расходы, связанные с выплатой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Аср(n) - средняя величина активов за определенный рассматриваемый период;</w:t>
      </w:r>
      <w:r>
        <w:br/>
      </w: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 xml:space="preserve"> - коэффициент корректировки, который рассчитывается по формуле:</w:t>
      </w:r>
    </w:p>
    <w:p>
      <w:pPr>
        <w:spacing w:after="0"/>
        <w:ind w:left="0"/>
        <w:jc w:val="both"/>
      </w:pPr>
      <w:r>
        <w:drawing>
          <wp:inline distT="0" distB="0" distL="0" distR="0">
            <wp:extent cx="95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952500" cy="7112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где М – количество истекших месяцев с начала соответствующего финансового года. </w:t>
      </w:r>
      <w:r>
        <w:br/>
      </w:r>
      <w:r>
        <w:rPr>
          <w:rFonts w:ascii="Times New Roman"/>
          <w:b w:val="false"/>
          <w:i w:val="false"/>
          <w:color w:val="000000"/>
          <w:sz w:val="28"/>
        </w:rPr>
        <w:t>
      Доходы, связанные с получением вознаграждения, включают в себя:</w:t>
      </w:r>
      <w:r>
        <w:br/>
      </w:r>
      <w:r>
        <w:rPr>
          <w:rFonts w:ascii="Times New Roman"/>
          <w:b w:val="false"/>
          <w:i w:val="false"/>
          <w:color w:val="000000"/>
          <w:sz w:val="28"/>
        </w:rPr>
        <w:t>
      доходы, связанные с получением вознаграждения по корреспондентским счетам;</w:t>
      </w:r>
      <w:r>
        <w:br/>
      </w:r>
      <w:r>
        <w:rPr>
          <w:rFonts w:ascii="Times New Roman"/>
          <w:b w:val="false"/>
          <w:i w:val="false"/>
          <w:color w:val="000000"/>
          <w:sz w:val="28"/>
        </w:rPr>
        <w:t>
      доходы, связанные с получением вознаграждения по вкладам, размещенным в Национальном Банке Республики Казахстан;</w:t>
      </w:r>
      <w:r>
        <w:br/>
      </w:r>
      <w:r>
        <w:rPr>
          <w:rFonts w:ascii="Times New Roman"/>
          <w:b w:val="false"/>
          <w:i w:val="false"/>
          <w:color w:val="000000"/>
          <w:sz w:val="28"/>
        </w:rPr>
        <w:t>
      доходы, связанные с получением вознаграждения по ценным бумагам, учитываемым по справедливой стоимости через прибыль или убыток;</w:t>
      </w:r>
      <w:r>
        <w:br/>
      </w:r>
      <w:r>
        <w:rPr>
          <w:rFonts w:ascii="Times New Roman"/>
          <w:b w:val="false"/>
          <w:i w:val="false"/>
          <w:color w:val="000000"/>
          <w:sz w:val="28"/>
        </w:rPr>
        <w:t>
      доходы, связанные с получением вознаграждения по вкладам, размещенным в других банках (за исключением доходов, связанных с получением вознаграждения по аффинированным драгоценным металлам, размещенным на металлических счетах, доходов в виде положительной корректировки стоимости срочного вклада, размещенного в других банках, доходов в виде положительной корректировки стоимости условного вклада, размещенного в других банках, доходов в виде отрицательной корректировки стоимости срочного вклада, привлеченного от других банков, доходов в виде отрицательной корректировки стоимости условного вклада, привлеченного от других банков);</w:t>
      </w:r>
      <w:r>
        <w:br/>
      </w:r>
      <w:r>
        <w:rPr>
          <w:rFonts w:ascii="Times New Roman"/>
          <w:b w:val="false"/>
          <w:i w:val="false"/>
          <w:color w:val="000000"/>
          <w:sz w:val="28"/>
        </w:rPr>
        <w:t>
      доходы, связанные с получением вознаграждения по займам, предоставленным другим банкам (за исключением комиссионного вознаграждения по займам, предоставленным другим банкам, доходов в виде положительной корректировки стоимости займа, предоставленного другим банкам, доходов в виде отрицательной корректировки стоимости займа, полученного от других банков);</w:t>
      </w:r>
      <w:r>
        <w:br/>
      </w:r>
      <w:r>
        <w:rPr>
          <w:rFonts w:ascii="Times New Roman"/>
          <w:b w:val="false"/>
          <w:i w:val="false"/>
          <w:color w:val="000000"/>
          <w:sz w:val="28"/>
        </w:rPr>
        <w:t>
      доходы, связанные с получением вознаграждения по займам и финансовому лизингу, предоставленным организациям, осуществляющим отдельные виды банковских операций или полученным от организаций, осуществляющих отдельные виды банковских операций (за исключением доходов в виде положительной корректировки стоимости займа, предоставленного организациям, осуществляющим отдельные виды банковских операций, доходов в виде отрицательной корректировки стоимости займа, полученного от организаций, осуществляющих отдельные виды банковских операций, доходов по расчетам с зарубежными филиалами);</w:t>
      </w:r>
      <w:r>
        <w:br/>
      </w:r>
      <w:r>
        <w:rPr>
          <w:rFonts w:ascii="Times New Roman"/>
          <w:b w:val="false"/>
          <w:i w:val="false"/>
          <w:color w:val="000000"/>
          <w:sz w:val="28"/>
        </w:rPr>
        <w:t>
      доходы, связанные с получением вознаграждения по требованиям банка к клиентам (за исключением доходов в виде положительной корректировки стоимости займа, предоставленного клиентам, доходов в виде отрицательной корректировки стоимости займа, полученного от Правительства Республики Казахстан, местных исполнительных органов Республики Казахстан и международных финансовых организаций, доходов в виде отрицательной корректировки стоимости срочного вклада, привлеченного от клиентов, доходов в виде отрицательной корректировки стоимости условного вклада, привлеченного от клиентов, доходов, связанных с получением вознаграждения по финансовым активам, переданным в доверительное (трастовое) управление);</w:t>
      </w:r>
      <w:r>
        <w:br/>
      </w:r>
      <w:r>
        <w:rPr>
          <w:rFonts w:ascii="Times New Roman"/>
          <w:b w:val="false"/>
          <w:i w:val="false"/>
          <w:color w:val="000000"/>
          <w:sz w:val="28"/>
        </w:rPr>
        <w:t>
      доходы, связанные с получением вознаграждения по ценным бумагам, имеющимся в наличии для продажи (за исключением доходов по амортизации премии по выпущенным в обращение ценным бумагам, доходов по амортизации премии по выпущенным в обращение субординированным облигациям);</w:t>
      </w:r>
      <w:r>
        <w:br/>
      </w:r>
      <w:r>
        <w:rPr>
          <w:rFonts w:ascii="Times New Roman"/>
          <w:b w:val="false"/>
          <w:i w:val="false"/>
          <w:color w:val="000000"/>
          <w:sz w:val="28"/>
        </w:rPr>
        <w:t>
      доходы, связанные с получением вознаграждения по операциям «обратное РЕПО» с ценными бумагами;</w:t>
      </w:r>
      <w:r>
        <w:br/>
      </w:r>
      <w:r>
        <w:rPr>
          <w:rFonts w:ascii="Times New Roman"/>
          <w:b w:val="false"/>
          <w:i w:val="false"/>
          <w:color w:val="000000"/>
          <w:sz w:val="28"/>
        </w:rPr>
        <w:t>
      доходы, связанные с получением вознаграждения по инвестициям в капитал и субординированный долг;</w:t>
      </w:r>
      <w:r>
        <w:br/>
      </w:r>
      <w:r>
        <w:rPr>
          <w:rFonts w:ascii="Times New Roman"/>
          <w:b w:val="false"/>
          <w:i w:val="false"/>
          <w:color w:val="000000"/>
          <w:sz w:val="28"/>
        </w:rPr>
        <w:t>
      доходы, связанные с получением вознаграждения по ценным бумагам, удерживаемым до погашения;</w:t>
      </w:r>
      <w:r>
        <w:br/>
      </w:r>
      <w:r>
        <w:rPr>
          <w:rFonts w:ascii="Times New Roman"/>
          <w:b w:val="false"/>
          <w:i w:val="false"/>
          <w:color w:val="000000"/>
          <w:sz w:val="28"/>
        </w:rPr>
        <w:t>
      доходы, связанные с получением вознаграждения по прочим долговым инструментам в категории «займы и дебиторская задолженность»;</w:t>
      </w:r>
      <w:r>
        <w:br/>
      </w:r>
      <w:r>
        <w:rPr>
          <w:rFonts w:ascii="Times New Roman"/>
          <w:b w:val="false"/>
          <w:i w:val="false"/>
          <w:color w:val="000000"/>
          <w:sz w:val="28"/>
        </w:rPr>
        <w:t>
      17) снижение спрэда за последние шесть месяцев на один и более процентных пункта рассчитывается по следующей формуле:</w:t>
      </w:r>
    </w:p>
    <w:p>
      <w:pPr>
        <w:spacing w:after="0"/>
        <w:ind w:left="0"/>
        <w:jc w:val="both"/>
      </w:pPr>
      <w:r>
        <w:drawing>
          <wp:inline distT="0" distB="0" distL="0" distR="0">
            <wp:extent cx="5080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80000" cy="381000"/>
                    </a:xfrm>
                    <a:prstGeom prst="rect">
                      <a:avLst/>
                    </a:prstGeom>
                  </pic:spPr>
                </pic:pic>
              </a:graphicData>
            </a:graphic>
          </wp:inline>
        </w:drawing>
      </w:r>
    </w:p>
    <w:p>
      <w:pPr>
        <w:spacing w:after="0"/>
        <w:ind w:left="0"/>
        <w:jc w:val="both"/>
      </w:pPr>
      <w:r>
        <w:rPr>
          <w:rFonts w:ascii="Times New Roman"/>
          <w:b w:val="false"/>
          <w:i w:val="false"/>
          <w:color w:val="000000"/>
          <w:sz w:val="28"/>
        </w:rPr>
        <w:t>      Спрэд банка рассчитывается как разница между отношением доходов, связанных с получением вознаграждения, в годовом выражении к средним активам, приносящим доход, и отношением расходов, связанных с выплатой вознаграждения, в годовом выражении к средним обязательствам, влекущим расходы, по следующей формуле:</w:t>
      </w:r>
    </w:p>
    <w:p>
      <w:pPr>
        <w:spacing w:after="0"/>
        <w:ind w:left="0"/>
        <w:jc w:val="both"/>
      </w:pPr>
      <w:r>
        <w:drawing>
          <wp:inline distT="0" distB="0" distL="0" distR="0">
            <wp:extent cx="4102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02100" cy="7747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Дс%(n) - доходы, связанные с получением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Рс%(n) - расходы, связанные с выплатой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 xml:space="preserve"> - коэффициент корректировки, который рассчитывается по формуле:</w:t>
      </w:r>
    </w:p>
    <w:p>
      <w:pPr>
        <w:spacing w:after="0"/>
        <w:ind w:left="0"/>
        <w:jc w:val="both"/>
      </w:pPr>
      <w:r>
        <w:drawing>
          <wp:inline distT="0" distB="0" distL="0" distR="0">
            <wp:extent cx="95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52500" cy="711200"/>
                    </a:xfrm>
                    <a:prstGeom prst="rect">
                      <a:avLst/>
                    </a:prstGeom>
                  </pic:spPr>
                </pic:pic>
              </a:graphicData>
            </a:graphic>
          </wp:inline>
        </w:drawing>
      </w:r>
    </w:p>
    <w:p>
      <w:pPr>
        <w:spacing w:after="0"/>
        <w:ind w:left="0"/>
        <w:jc w:val="both"/>
      </w:pPr>
      <w:r>
        <w:rPr>
          <w:rFonts w:ascii="Times New Roman"/>
          <w:b w:val="false"/>
          <w:i w:val="false"/>
          <w:color w:val="000000"/>
          <w:sz w:val="28"/>
        </w:rPr>
        <w:t>      где М – количество истекших месяцев с начала соответствующего финансового года.</w:t>
      </w:r>
      <w:r>
        <w:br/>
      </w:r>
      <w:r>
        <w:rPr>
          <w:rFonts w:ascii="Times New Roman"/>
          <w:b w:val="false"/>
          <w:i w:val="false"/>
          <w:color w:val="000000"/>
          <w:sz w:val="28"/>
        </w:rPr>
        <w:t>
      АДср(n) - средняя величина активов, приносящих доход, за определенный рассматриваемый период, рассчитываемая по формуле:</w:t>
      </w:r>
    </w:p>
    <w:p>
      <w:pPr>
        <w:spacing w:after="0"/>
        <w:ind w:left="0"/>
        <w:jc w:val="both"/>
      </w:pPr>
      <w:r>
        <w:drawing>
          <wp:inline distT="0" distB="0" distL="0" distR="0">
            <wp:extent cx="4064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064000" cy="7620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АД (0, 2,....n) - активы, приносящие доход, на конец определенного месяца;</w:t>
      </w:r>
      <w:r>
        <w:br/>
      </w:r>
      <w:r>
        <w:rPr>
          <w:rFonts w:ascii="Times New Roman"/>
          <w:b w:val="false"/>
          <w:i w:val="false"/>
          <w:color w:val="000000"/>
          <w:sz w:val="28"/>
        </w:rPr>
        <w:t>
      n - количество истекших месяцев с начала соответствующего финансового года;</w:t>
      </w:r>
      <w:r>
        <w:br/>
      </w:r>
      <w:r>
        <w:rPr>
          <w:rFonts w:ascii="Times New Roman"/>
          <w:b w:val="false"/>
          <w:i w:val="false"/>
          <w:color w:val="000000"/>
          <w:sz w:val="28"/>
        </w:rPr>
        <w:t>
      ОРср(n) - средняя величина обязательств, влекущих расход, за определенный рассматриваемый период, рассчитываемая по формуле:</w:t>
      </w:r>
    </w:p>
    <w:p>
      <w:pPr>
        <w:spacing w:after="0"/>
        <w:ind w:left="0"/>
        <w:jc w:val="both"/>
      </w:pPr>
      <w:r>
        <w:drawing>
          <wp:inline distT="0" distB="0" distL="0" distR="0">
            <wp:extent cx="400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00500" cy="7366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ОР (0, 1....n) - обязательства, влекущие расход, на конец определенного месяца;</w:t>
      </w:r>
      <w:r>
        <w:br/>
      </w:r>
      <w:r>
        <w:rPr>
          <w:rFonts w:ascii="Times New Roman"/>
          <w:b w:val="false"/>
          <w:i w:val="false"/>
          <w:color w:val="000000"/>
          <w:sz w:val="28"/>
        </w:rPr>
        <w:t>
      n - количество истекших месяцев с начала соответствующего финансового года.</w:t>
      </w:r>
      <w:r>
        <w:br/>
      </w:r>
      <w:r>
        <w:rPr>
          <w:rFonts w:ascii="Times New Roman"/>
          <w:b w:val="false"/>
          <w:i w:val="false"/>
          <w:color w:val="000000"/>
          <w:sz w:val="28"/>
        </w:rPr>
        <w:t>
      Активы, приносящие доход (АД), включают в себя:</w:t>
      </w:r>
      <w:r>
        <w:br/>
      </w:r>
      <w:r>
        <w:rPr>
          <w:rFonts w:ascii="Times New Roman"/>
          <w:b w:val="false"/>
          <w:i w:val="false"/>
          <w:color w:val="000000"/>
          <w:sz w:val="28"/>
        </w:rPr>
        <w:t>
      корреспондентские счета;</w:t>
      </w:r>
      <w:r>
        <w:br/>
      </w:r>
      <w:r>
        <w:rPr>
          <w:rFonts w:ascii="Times New Roman"/>
          <w:b w:val="false"/>
          <w:i w:val="false"/>
          <w:color w:val="000000"/>
          <w:sz w:val="28"/>
        </w:rPr>
        <w:t>
      требования к Национальному Банку Республики Казахстан;</w:t>
      </w:r>
      <w:r>
        <w:br/>
      </w:r>
      <w:r>
        <w:rPr>
          <w:rFonts w:ascii="Times New Roman"/>
          <w:b w:val="false"/>
          <w:i w:val="false"/>
          <w:color w:val="000000"/>
          <w:sz w:val="28"/>
        </w:rPr>
        <w:t>
      ценные бумаги, учитываемые по справедливой стоимости через прибыль или убыток;</w:t>
      </w:r>
      <w:r>
        <w:br/>
      </w:r>
      <w:r>
        <w:rPr>
          <w:rFonts w:ascii="Times New Roman"/>
          <w:b w:val="false"/>
          <w:i w:val="false"/>
          <w:color w:val="000000"/>
          <w:sz w:val="28"/>
        </w:rPr>
        <w:t>
      вклады, размещенные в других банках;</w:t>
      </w:r>
      <w:r>
        <w:br/>
      </w:r>
      <w:r>
        <w:rPr>
          <w:rFonts w:ascii="Times New Roman"/>
          <w:b w:val="false"/>
          <w:i w:val="false"/>
          <w:color w:val="000000"/>
          <w:sz w:val="28"/>
        </w:rPr>
        <w:t>
      займы, предоставленные другим банкам;</w:t>
      </w:r>
      <w:r>
        <w:br/>
      </w:r>
      <w:r>
        <w:rPr>
          <w:rFonts w:ascii="Times New Roman"/>
          <w:b w:val="false"/>
          <w:i w:val="false"/>
          <w:color w:val="000000"/>
          <w:sz w:val="28"/>
        </w:rPr>
        <w:t>
      займы и финансовый лизинг, предоставленные организациям, осуществляющим отдельные виды банковских операций;</w:t>
      </w:r>
      <w:r>
        <w:br/>
      </w:r>
      <w:r>
        <w:rPr>
          <w:rFonts w:ascii="Times New Roman"/>
          <w:b w:val="false"/>
          <w:i w:val="false"/>
          <w:color w:val="000000"/>
          <w:sz w:val="28"/>
        </w:rPr>
        <w:t>
      требования к клиентам;</w:t>
      </w:r>
      <w:r>
        <w:br/>
      </w:r>
      <w:r>
        <w:rPr>
          <w:rFonts w:ascii="Times New Roman"/>
          <w:b w:val="false"/>
          <w:i w:val="false"/>
          <w:color w:val="000000"/>
          <w:sz w:val="28"/>
        </w:rPr>
        <w:t>
      ценные бумаги, имеющиеся в наличии для продажи;</w:t>
      </w:r>
      <w:r>
        <w:br/>
      </w:r>
      <w:r>
        <w:rPr>
          <w:rFonts w:ascii="Times New Roman"/>
          <w:b w:val="false"/>
          <w:i w:val="false"/>
          <w:color w:val="000000"/>
          <w:sz w:val="28"/>
        </w:rPr>
        <w:t>
      операции «обратное РЕПО» с ценными бумагами;</w:t>
      </w:r>
      <w:r>
        <w:br/>
      </w:r>
      <w:r>
        <w:rPr>
          <w:rFonts w:ascii="Times New Roman"/>
          <w:b w:val="false"/>
          <w:i w:val="false"/>
          <w:color w:val="000000"/>
          <w:sz w:val="28"/>
        </w:rPr>
        <w:t>
      инвестиции в капитал и субординированный долг;</w:t>
      </w:r>
      <w:r>
        <w:br/>
      </w:r>
      <w:r>
        <w:rPr>
          <w:rFonts w:ascii="Times New Roman"/>
          <w:b w:val="false"/>
          <w:i w:val="false"/>
          <w:color w:val="000000"/>
          <w:sz w:val="28"/>
        </w:rPr>
        <w:t>
      ценные бумаги, удерживаемые до погашения;</w:t>
      </w:r>
      <w:r>
        <w:br/>
      </w:r>
      <w:r>
        <w:rPr>
          <w:rFonts w:ascii="Times New Roman"/>
          <w:b w:val="false"/>
          <w:i w:val="false"/>
          <w:color w:val="000000"/>
          <w:sz w:val="28"/>
        </w:rPr>
        <w:t>
      прочие долговые инструменты в категории «займы и дебиторская задолженность».</w:t>
      </w:r>
      <w:r>
        <w:br/>
      </w:r>
      <w:r>
        <w:rPr>
          <w:rFonts w:ascii="Times New Roman"/>
          <w:b w:val="false"/>
          <w:i w:val="false"/>
          <w:color w:val="000000"/>
          <w:sz w:val="28"/>
        </w:rPr>
        <w:t>
      Активы, приносящие доход, учитываются за минусом резервов по международным стандартам финансовой отчетности (IFRS), а также с учетом дисконтов (премий) и положительных (отрицательных) корректировок.</w:t>
      </w:r>
      <w:r>
        <w:br/>
      </w:r>
      <w:r>
        <w:rPr>
          <w:rFonts w:ascii="Times New Roman"/>
          <w:b w:val="false"/>
          <w:i w:val="false"/>
          <w:color w:val="000000"/>
          <w:sz w:val="28"/>
        </w:rPr>
        <w:t>
      Обязательства, влекущие расходы (ОР), включают в себя:</w:t>
      </w:r>
      <w:r>
        <w:br/>
      </w:r>
      <w:r>
        <w:rPr>
          <w:rFonts w:ascii="Times New Roman"/>
          <w:b w:val="false"/>
          <w:i w:val="false"/>
          <w:color w:val="000000"/>
          <w:sz w:val="28"/>
        </w:rPr>
        <w:t>
      корреспондентские счета;</w:t>
      </w:r>
      <w:r>
        <w:br/>
      </w:r>
      <w:r>
        <w:rPr>
          <w:rFonts w:ascii="Times New Roman"/>
          <w:b w:val="false"/>
          <w:i w:val="false"/>
          <w:color w:val="000000"/>
          <w:sz w:val="28"/>
        </w:rPr>
        <w:t>
      вклады до востребования других банков;</w:t>
      </w:r>
      <w:r>
        <w:br/>
      </w:r>
      <w:r>
        <w:rPr>
          <w:rFonts w:ascii="Times New Roman"/>
          <w:b w:val="false"/>
          <w:i w:val="false"/>
          <w:color w:val="000000"/>
          <w:sz w:val="28"/>
        </w:rPr>
        <w:t>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r>
        <w:br/>
      </w:r>
      <w:r>
        <w:rPr>
          <w:rFonts w:ascii="Times New Roman"/>
          <w:b w:val="false"/>
          <w:i w:val="false"/>
          <w:color w:val="000000"/>
          <w:sz w:val="28"/>
        </w:rPr>
        <w:t>
      займы, полученные от международных финансовых организаций;</w:t>
      </w:r>
      <w:r>
        <w:br/>
      </w:r>
      <w:r>
        <w:rPr>
          <w:rFonts w:ascii="Times New Roman"/>
          <w:b w:val="false"/>
          <w:i w:val="false"/>
          <w:color w:val="000000"/>
          <w:sz w:val="28"/>
        </w:rPr>
        <w:t>
      займы, полученные от других банков и организаций, осуществляющих отдельные виды банковских операций;</w:t>
      </w:r>
      <w:r>
        <w:br/>
      </w:r>
      <w:r>
        <w:rPr>
          <w:rFonts w:ascii="Times New Roman"/>
          <w:b w:val="false"/>
          <w:i w:val="false"/>
          <w:color w:val="000000"/>
          <w:sz w:val="28"/>
        </w:rPr>
        <w:t>
      займы овернайт;</w:t>
      </w:r>
      <w:r>
        <w:br/>
      </w:r>
      <w:r>
        <w:rPr>
          <w:rFonts w:ascii="Times New Roman"/>
          <w:b w:val="false"/>
          <w:i w:val="false"/>
          <w:color w:val="000000"/>
          <w:sz w:val="28"/>
        </w:rPr>
        <w:t>
      срочные вклады;</w:t>
      </w:r>
      <w:r>
        <w:br/>
      </w:r>
      <w:r>
        <w:rPr>
          <w:rFonts w:ascii="Times New Roman"/>
          <w:b w:val="false"/>
          <w:i w:val="false"/>
          <w:color w:val="000000"/>
          <w:sz w:val="28"/>
        </w:rPr>
        <w:t>
      обязательства перед клиентами;</w:t>
      </w:r>
      <w:r>
        <w:br/>
      </w:r>
      <w:r>
        <w:rPr>
          <w:rFonts w:ascii="Times New Roman"/>
          <w:b w:val="false"/>
          <w:i w:val="false"/>
          <w:color w:val="000000"/>
          <w:sz w:val="28"/>
        </w:rPr>
        <w:t>
      операции «РЕПО» с ценными бумагами;</w:t>
      </w:r>
      <w:r>
        <w:br/>
      </w:r>
      <w:r>
        <w:rPr>
          <w:rFonts w:ascii="Times New Roman"/>
          <w:b w:val="false"/>
          <w:i w:val="false"/>
          <w:color w:val="000000"/>
          <w:sz w:val="28"/>
        </w:rPr>
        <w:t>
      выпущенные в обращение ценные бумаги;</w:t>
      </w:r>
      <w:r>
        <w:br/>
      </w:r>
      <w:r>
        <w:rPr>
          <w:rFonts w:ascii="Times New Roman"/>
          <w:b w:val="false"/>
          <w:i w:val="false"/>
          <w:color w:val="000000"/>
          <w:sz w:val="28"/>
        </w:rPr>
        <w:t>
      субординированные долги.</w:t>
      </w:r>
      <w:r>
        <w:br/>
      </w:r>
      <w:r>
        <w:rPr>
          <w:rFonts w:ascii="Times New Roman"/>
          <w:b w:val="false"/>
          <w:i w:val="false"/>
          <w:color w:val="000000"/>
          <w:sz w:val="28"/>
        </w:rPr>
        <w:t>
      Расходы, связанные с выплатой вознаграждения по обязательствам, влекущим расходы, включают в себя:</w:t>
      </w:r>
      <w:r>
        <w:br/>
      </w:r>
      <w:r>
        <w:rPr>
          <w:rFonts w:ascii="Times New Roman"/>
          <w:b w:val="false"/>
          <w:i w:val="false"/>
          <w:color w:val="000000"/>
          <w:sz w:val="28"/>
        </w:rPr>
        <w:t>
      расходы, связанные с выплатой вознаграждения по корреспондентским счетам;</w:t>
      </w:r>
      <w:r>
        <w:br/>
      </w:r>
      <w:r>
        <w:rPr>
          <w:rFonts w:ascii="Times New Roman"/>
          <w:b w:val="false"/>
          <w:i w:val="false"/>
          <w:color w:val="000000"/>
          <w:sz w:val="28"/>
        </w:rPr>
        <w:t>
      расходы, связанные с выплатой вознаграждения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(за исключением расходов в виде положительной корректировки стоимости займа, полученного от Правительства Республики Казахстан и местных исполнительных органов Республики Казахстан);</w:t>
      </w:r>
      <w:r>
        <w:br/>
      </w:r>
      <w:r>
        <w:rPr>
          <w:rFonts w:ascii="Times New Roman"/>
          <w:b w:val="false"/>
          <w:i w:val="false"/>
          <w:color w:val="000000"/>
          <w:sz w:val="28"/>
        </w:rPr>
        <w:t>
      расходы, связанные с выплатой вознаграждения по займам, полученным от международных финансовых организаций (за исключением расходов в виде положительной корректировки стоимости займа, полученного от международных финансовых организаций);</w:t>
      </w:r>
      <w:r>
        <w:br/>
      </w:r>
      <w:r>
        <w:rPr>
          <w:rFonts w:ascii="Times New Roman"/>
          <w:b w:val="false"/>
          <w:i w:val="false"/>
          <w:color w:val="000000"/>
          <w:sz w:val="28"/>
        </w:rPr>
        <w:t>
      расходы, связанные с выплатой вознаграждения по займам, полученным от других банков (за исключением расходов в виде положительной корректировки стоимости займа, полученного от других банков, расходов в виде отрицательной корректировки стоимости займа, предоставленного другим банкам);</w:t>
      </w:r>
      <w:r>
        <w:br/>
      </w:r>
      <w:r>
        <w:rPr>
          <w:rFonts w:ascii="Times New Roman"/>
          <w:b w:val="false"/>
          <w:i w:val="false"/>
          <w:color w:val="000000"/>
          <w:sz w:val="28"/>
        </w:rPr>
        <w:t>
      расходы, связанные с выплатой вознаграждения по займам, полученным от организаций, осуществляющих отдельные виды банковских операций (за исключением расходов в виде положительной корректировки стоимости займа, полученного от организаций, осуществляющих отдельные виды банковских операций, расходов в виде отрицательной корректировки стоимости займа, предоставленного организациям, осуществляющим отдельные виды банковских операций);</w:t>
      </w:r>
      <w:r>
        <w:br/>
      </w:r>
      <w:r>
        <w:rPr>
          <w:rFonts w:ascii="Times New Roman"/>
          <w:b w:val="false"/>
          <w:i w:val="false"/>
          <w:color w:val="000000"/>
          <w:sz w:val="28"/>
        </w:rPr>
        <w:t>
      другие расходы, связанные с выплатой вознаграждения по операциям с другими банками;</w:t>
      </w:r>
      <w:r>
        <w:br/>
      </w:r>
      <w:r>
        <w:rPr>
          <w:rFonts w:ascii="Times New Roman"/>
          <w:b w:val="false"/>
          <w:i w:val="false"/>
          <w:color w:val="000000"/>
          <w:sz w:val="28"/>
        </w:rPr>
        <w:t>
      расходы, связанные с выплатой вознаграждения по займам овернайт;</w:t>
      </w:r>
      <w:r>
        <w:br/>
      </w:r>
      <w:r>
        <w:rPr>
          <w:rFonts w:ascii="Times New Roman"/>
          <w:b w:val="false"/>
          <w:i w:val="false"/>
          <w:color w:val="000000"/>
          <w:sz w:val="28"/>
        </w:rPr>
        <w:t>
      расходы, связанные с выплатой вознаграждения по вкладам других банков (за исключением расходов в виде отрицательной корректировки стоимости срочного вклада, размещенного в других банках, расходов в виде отрицательной корректировки стоимости условного вклада, размещенного в других банках, расходов в виде положительной корректировки стоимости срочного вклада, привлеченного от других банков, расходов в виде положительной корректировки стоимости условного вклада, привлеченного от других банков);</w:t>
      </w:r>
      <w:r>
        <w:br/>
      </w:r>
      <w:r>
        <w:rPr>
          <w:rFonts w:ascii="Times New Roman"/>
          <w:b w:val="false"/>
          <w:i w:val="false"/>
          <w:color w:val="000000"/>
          <w:sz w:val="28"/>
        </w:rPr>
        <w:t>
      расходы, связанные с выплатой вознаграждения по требованиям клиентов (за исключением расходов, связанных с выплатой вознаграждения по финансовым активам, принятым в доверительное управление, расходов, связанных с выплатой вознаграждения по просроченной задолженности по прочим операциям с клиентами, расходов, связанных с выплатой вознаграждения по полученному финансовому лизингу, расходов, связанных с выплатой вознаграждения по указаниям, неисполненным в срок, комиссионного вознаграждения по принятым вкладам, расходов в виде отрицательной корректировки стоимости займа, предоставленного клиентам, расходов по амортизации премии по учтенным векселям, расходов по амортизации премии по займам, предоставленным клиентам);</w:t>
      </w:r>
      <w:r>
        <w:br/>
      </w:r>
      <w:r>
        <w:rPr>
          <w:rFonts w:ascii="Times New Roman"/>
          <w:b w:val="false"/>
          <w:i w:val="false"/>
          <w:color w:val="000000"/>
          <w:sz w:val="28"/>
        </w:rPr>
        <w:t>
      расходы, связанные с выплатой вознаграждения по операциям «РЕПО» с ценными бумагами;</w:t>
      </w:r>
      <w:r>
        <w:br/>
      </w:r>
      <w:r>
        <w:rPr>
          <w:rFonts w:ascii="Times New Roman"/>
          <w:b w:val="false"/>
          <w:i w:val="false"/>
          <w:color w:val="000000"/>
          <w:sz w:val="28"/>
        </w:rPr>
        <w:t>
      расходы, связанные с выплатой вознаграждения по ценным бумагам (за исключением расходов по амортизации премии по приобретенным ценным бумагам, учитываемым по справедливой стоимости через прибыль или убыток, расходов по амортизации премии по приобретенным ценным бумагам, имеющимся в наличии для продажи, расходов по амортизации премии по приобретенным ценным бумагам, удерживаемым до погашения, расходов по амортизации премии по прочим долговым инструментам в категории «займы и дебиторская задолженность»);</w:t>
      </w:r>
      <w:r>
        <w:br/>
      </w:r>
      <w:r>
        <w:rPr>
          <w:rFonts w:ascii="Times New Roman"/>
          <w:b w:val="false"/>
          <w:i w:val="false"/>
          <w:color w:val="000000"/>
          <w:sz w:val="28"/>
        </w:rPr>
        <w:t>
      расходы, связанные с выплатой вознаграждения по субординированному долгу;</w:t>
      </w:r>
      <w:r>
        <w:br/>
      </w:r>
      <w:r>
        <w:rPr>
          <w:rFonts w:ascii="Times New Roman"/>
          <w:b w:val="false"/>
          <w:i w:val="false"/>
          <w:color w:val="000000"/>
          <w:sz w:val="28"/>
        </w:rPr>
        <w:t>
      18) увеличение отношения операционных расходов к сумме доходов, связанных с получением вознаграждения, и доходов, не связанных с получением вознаграждения, за последние шесть месяцев на пять и более процентных пунктов рассчитывается по следующей формуле:</w:t>
      </w:r>
    </w:p>
    <w:p>
      <w:pPr>
        <w:spacing w:after="0"/>
        <w:ind w:left="0"/>
        <w:jc w:val="both"/>
      </w:pPr>
      <w:r>
        <w:drawing>
          <wp:inline distT="0" distB="0" distL="0" distR="0">
            <wp:extent cx="6896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896100" cy="685800"/>
                    </a:xfrm>
                    <a:prstGeom prst="rect">
                      <a:avLst/>
                    </a:prstGeom>
                  </pic:spPr>
                </pic:pic>
              </a:graphicData>
            </a:graphic>
          </wp:inline>
        </w:drawing>
      </w:r>
    </w:p>
    <w:bookmarkStart w:name="z11" w:id="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ОПР (месяц) - операционные расходы за период с начала соответствующего финансового года до конца рассматриваемого месяца;</w:t>
      </w:r>
      <w:r>
        <w:br/>
      </w:r>
      <w:r>
        <w:rPr>
          <w:rFonts w:ascii="Times New Roman"/>
          <w:b w:val="false"/>
          <w:i w:val="false"/>
          <w:color w:val="000000"/>
          <w:sz w:val="28"/>
        </w:rPr>
        <w:t>
      Дс% (месяц) - доходы, связанные с получением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Днс% (месяц) - доходы, не связанные с получением вознаграждения, за период с начала соответствующего финансового года до конца рассматриваемого месяца;</w:t>
      </w:r>
      <w:r>
        <w:br/>
      </w:r>
      <w:r>
        <w:rPr>
          <w:rFonts w:ascii="Times New Roman"/>
          <w:b w:val="false"/>
          <w:i w:val="false"/>
          <w:color w:val="000000"/>
          <w:sz w:val="28"/>
        </w:rPr>
        <w:t>
      Операционные расходы (ОПР) включают в себя:</w:t>
      </w:r>
      <w:r>
        <w:br/>
      </w:r>
      <w:r>
        <w:rPr>
          <w:rFonts w:ascii="Times New Roman"/>
          <w:b w:val="false"/>
          <w:i w:val="false"/>
          <w:color w:val="000000"/>
          <w:sz w:val="28"/>
        </w:rPr>
        <w:t>
      расходы по оплате труда и обязательным отчислениям;</w:t>
      </w:r>
      <w:r>
        <w:br/>
      </w:r>
      <w:r>
        <w:rPr>
          <w:rFonts w:ascii="Times New Roman"/>
          <w:b w:val="false"/>
          <w:i w:val="false"/>
          <w:color w:val="000000"/>
          <w:sz w:val="28"/>
        </w:rPr>
        <w:t>
      общехозяйственные расходы (за исключением расходов по отчислению обязательных календарных, дополнительных и чрезвычайных взносов в акционерное общество «Казахстанский фонд гарантирования депозитов»);</w:t>
      </w:r>
      <w:r>
        <w:br/>
      </w:r>
      <w:r>
        <w:rPr>
          <w:rFonts w:ascii="Times New Roman"/>
          <w:b w:val="false"/>
          <w:i w:val="false"/>
          <w:color w:val="000000"/>
          <w:sz w:val="28"/>
        </w:rPr>
        <w:t>
      налоги, сборы и другие обязательные платежи в бюджет, кроме подоходного налога;</w:t>
      </w:r>
      <w:r>
        <w:br/>
      </w:r>
      <w:r>
        <w:rPr>
          <w:rFonts w:ascii="Times New Roman"/>
          <w:b w:val="false"/>
          <w:i w:val="false"/>
          <w:color w:val="000000"/>
          <w:sz w:val="28"/>
        </w:rPr>
        <w:t>
      амортизационные отчисления;</w:t>
      </w:r>
      <w:r>
        <w:br/>
      </w:r>
      <w:r>
        <w:rPr>
          <w:rFonts w:ascii="Times New Roman"/>
          <w:b w:val="false"/>
          <w:i w:val="false"/>
          <w:color w:val="000000"/>
          <w:sz w:val="28"/>
        </w:rPr>
        <w:t>
      расходы от безвозмездной передачи основных средств и нематериальных активов и реализации товарно-материальных запасов, прочих инвестиций;</w:t>
      </w:r>
      <w:r>
        <w:br/>
      </w:r>
      <w:r>
        <w:rPr>
          <w:rFonts w:ascii="Times New Roman"/>
          <w:b w:val="false"/>
          <w:i w:val="false"/>
          <w:color w:val="000000"/>
          <w:sz w:val="28"/>
        </w:rPr>
        <w:t>
      неустойка (штраф, пеня);</w:t>
      </w:r>
      <w:r>
        <w:br/>
      </w:r>
      <w:r>
        <w:rPr>
          <w:rFonts w:ascii="Times New Roman"/>
          <w:b w:val="false"/>
          <w:i w:val="false"/>
          <w:color w:val="000000"/>
          <w:sz w:val="28"/>
        </w:rPr>
        <w:t>
      расходы по аренде.</w:t>
      </w:r>
      <w:r>
        <w:br/>
      </w:r>
      <w:r>
        <w:rPr>
          <w:rFonts w:ascii="Times New Roman"/>
          <w:b w:val="false"/>
          <w:i w:val="false"/>
          <w:color w:val="000000"/>
          <w:sz w:val="28"/>
        </w:rPr>
        <w:t>
      Доходы, не связанные с получением вознаграждения, включают в себя доходы, за исключением доходов, связанных с получением вознаграждения, указанных в подпункте 16) настоящего пункта, а также доходов от восстановления резервов (провизий);</w:t>
      </w:r>
      <w:r>
        <w:br/>
      </w:r>
      <w:r>
        <w:rPr>
          <w:rFonts w:ascii="Times New Roman"/>
          <w:b w:val="false"/>
          <w:i w:val="false"/>
          <w:color w:val="000000"/>
          <w:sz w:val="28"/>
        </w:rPr>
        <w:t>
      19) снижение два и более раза в течение шести последовательных месяцев коэффициентов ликвидности до или ниже уровня, превышающего на 0,1 минимальные значения коэффициентов ликвидности, установленные </w:t>
      </w:r>
      <w:r>
        <w:rPr>
          <w:rFonts w:ascii="Times New Roman"/>
          <w:b w:val="false"/>
          <w:i w:val="false"/>
          <w:color w:val="000000"/>
          <w:sz w:val="28"/>
        </w:rPr>
        <w:t>постановлением № 358</w:t>
      </w:r>
      <w:r>
        <w:rPr>
          <w:rFonts w:ascii="Times New Roman"/>
          <w:b w:val="false"/>
          <w:i w:val="false"/>
          <w:color w:val="000000"/>
          <w:sz w:val="28"/>
        </w:rPr>
        <w:t>;</w:t>
      </w:r>
      <w:r>
        <w:br/>
      </w:r>
      <w:r>
        <w:rPr>
          <w:rFonts w:ascii="Times New Roman"/>
          <w:b w:val="false"/>
          <w:i w:val="false"/>
          <w:color w:val="000000"/>
          <w:sz w:val="28"/>
        </w:rPr>
        <w:t>
      20) снижение коэффициентов ликвидности при нахождении их первоначальных значений ниже уровня, превышающего на 0,1 минимальные значения коэффициентов ликвидности, установленные </w:t>
      </w:r>
      <w:r>
        <w:rPr>
          <w:rFonts w:ascii="Times New Roman"/>
          <w:b w:val="false"/>
          <w:i w:val="false"/>
          <w:color w:val="000000"/>
          <w:sz w:val="28"/>
        </w:rPr>
        <w:t>постановлением № 358</w:t>
      </w:r>
      <w:r>
        <w:rPr>
          <w:rFonts w:ascii="Times New Roman"/>
          <w:b w:val="false"/>
          <w:i w:val="false"/>
          <w:color w:val="000000"/>
          <w:sz w:val="28"/>
        </w:rPr>
        <w:t>.</w:t>
      </w:r>
      <w:r>
        <w:br/>
      </w:r>
      <w:r>
        <w:rPr>
          <w:rFonts w:ascii="Times New Roman"/>
          <w:b w:val="false"/>
          <w:i w:val="false"/>
          <w:color w:val="000000"/>
          <w:sz w:val="28"/>
        </w:rPr>
        <w:t>
      Рассматриваемым периодом является период, заканчивающийся на отчетную дату. При расчете показателей изменения представляются с тремя знаками после запятой.</w:t>
      </w:r>
      <w:r>
        <w:br/>
      </w:r>
      <w:r>
        <w:rPr>
          <w:rFonts w:ascii="Times New Roman"/>
          <w:b w:val="false"/>
          <w:i w:val="false"/>
          <w:color w:val="000000"/>
          <w:sz w:val="28"/>
        </w:rPr>
        <w:t>
      Требования подпунктов 7) и 8) настоящего пункта не распространяется на акционерное общество «Жилищный строительный сберегательный банк Казахстана.</w:t>
      </w:r>
      <w:r>
        <w:br/>
      </w:r>
      <w:r>
        <w:rPr>
          <w:rFonts w:ascii="Times New Roman"/>
          <w:b w:val="false"/>
          <w:i w:val="false"/>
          <w:color w:val="000000"/>
          <w:sz w:val="28"/>
        </w:rPr>
        <w:t>
      Требования Правил не распространяются на банки, находящиеся в процессе реструктуризации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за исключением показателей, установленных подпунктами 1), 2) и 3) настоящего пункта.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Правления Национального Банка РК от 26.07.2013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Комитет осуществляет анализ финансового положения банка для выявления факторов, влияющих на ухудшение финансового положения банка, ежемесячно на базе данных регуляторной отчетности.</w:t>
      </w:r>
      <w:r>
        <w:br/>
      </w:r>
      <w:r>
        <w:rPr>
          <w:rFonts w:ascii="Times New Roman"/>
          <w:b w:val="false"/>
          <w:i w:val="false"/>
          <w:color w:val="000000"/>
          <w:sz w:val="28"/>
        </w:rPr>
        <w:t>
      При расчете показателей, установленных подпунктами 4), 5), 6), 7), 8), 9), 10), 11) и 12) </w:t>
      </w:r>
      <w:r>
        <w:rPr>
          <w:rFonts w:ascii="Times New Roman"/>
          <w:b w:val="false"/>
          <w:i w:val="false"/>
          <w:color w:val="000000"/>
          <w:sz w:val="28"/>
        </w:rPr>
        <w:t>пункта 2</w:t>
      </w:r>
      <w:r>
        <w:rPr>
          <w:rFonts w:ascii="Times New Roman"/>
          <w:b w:val="false"/>
          <w:i w:val="false"/>
          <w:color w:val="000000"/>
          <w:sz w:val="28"/>
        </w:rPr>
        <w:t xml:space="preserve"> Правил, Комитет осуществляет анализ финансового положения банка, на основе рассчитанных факторов начиная с 1 июля 2013 года по мере накопления используемой для расчета факторов информации.</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26.07.2013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случае выявления факторов,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Правил, в результате анализа финансового положения банка и (или) по итогам его проверки, Комитет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его деятельностью (далее - план мероприятий).</w:t>
      </w:r>
      <w:r>
        <w:br/>
      </w:r>
      <w:r>
        <w:rPr>
          <w:rFonts w:ascii="Times New Roman"/>
          <w:b w:val="false"/>
          <w:i w:val="false"/>
          <w:color w:val="000000"/>
          <w:sz w:val="28"/>
        </w:rPr>
        <w:t>
      Банк и (или) его акционеры в срок не более пяти рабочих дней со дня получения требования Комитета разрабатывают и представляют в Комитет план мероприятий, который содержит:</w:t>
      </w:r>
      <w:r>
        <w:br/>
      </w:r>
      <w:r>
        <w:rPr>
          <w:rFonts w:ascii="Times New Roman"/>
          <w:b w:val="false"/>
          <w:i w:val="false"/>
          <w:color w:val="000000"/>
          <w:sz w:val="28"/>
        </w:rPr>
        <w:t>
      1) детальный анализ фактора, влияющего на ухудшение финансового положения банка;</w:t>
      </w:r>
      <w:r>
        <w:br/>
      </w:r>
      <w:r>
        <w:rPr>
          <w:rFonts w:ascii="Times New Roman"/>
          <w:b w:val="false"/>
          <w:i w:val="false"/>
          <w:color w:val="000000"/>
          <w:sz w:val="28"/>
        </w:rPr>
        <w:t>
      2) прогноз данного фактора, обоснование данного прогноза и негативные влияния на деятельность банка;</w:t>
      </w:r>
      <w:r>
        <w:br/>
      </w:r>
      <w:r>
        <w:rPr>
          <w:rFonts w:ascii="Times New Roman"/>
          <w:b w:val="false"/>
          <w:i w:val="false"/>
          <w:color w:val="000000"/>
          <w:sz w:val="28"/>
        </w:rPr>
        <w:t>
      3) меры по улучшению данного фактора, то есть доведения до уровня, не представляющего угрозу (дополнительные риски) для деятельности банка;</w:t>
      </w:r>
      <w:r>
        <w:br/>
      </w:r>
      <w:r>
        <w:rPr>
          <w:rFonts w:ascii="Times New Roman"/>
          <w:b w:val="false"/>
          <w:i w:val="false"/>
          <w:color w:val="000000"/>
          <w:sz w:val="28"/>
        </w:rPr>
        <w:t>
      4) сроки исполнения плана мероприятий (с указанием сроков исполнения по каждому пункту плана мероприятий);</w:t>
      </w:r>
      <w:r>
        <w:br/>
      </w:r>
      <w:r>
        <w:rPr>
          <w:rFonts w:ascii="Times New Roman"/>
          <w:b w:val="false"/>
          <w:i w:val="false"/>
          <w:color w:val="000000"/>
          <w:sz w:val="28"/>
        </w:rPr>
        <w:t>
      5) ответственных должностных лиц за исполнение плана мероприятий.</w:t>
      </w:r>
      <w:r>
        <w:br/>
      </w:r>
      <w:r>
        <w:rPr>
          <w:rFonts w:ascii="Times New Roman"/>
          <w:b w:val="false"/>
          <w:i w:val="false"/>
          <w:color w:val="000000"/>
          <w:sz w:val="28"/>
        </w:rPr>
        <w:t>
      Комитет проводит предварительное рассмотрение плана мероприятий в течение десяти рабочих дней с даты его представления банком и (или) его акционерами.</w:t>
      </w:r>
      <w:r>
        <w:br/>
      </w:r>
      <w:r>
        <w:rPr>
          <w:rFonts w:ascii="Times New Roman"/>
          <w:b w:val="false"/>
          <w:i w:val="false"/>
          <w:color w:val="000000"/>
          <w:sz w:val="28"/>
        </w:rPr>
        <w:t>
      В случае не согласия Комитета с планом мероприятий, предоставленным банком и (или) его акционерами на рассмотрение, Комитет и банк проводят совместные обсуждения с целью доработки плана мероприятий. При этом банк корректирует план для устранения замечаний Комитета или, в случае несогласия с такими замечаниями, предоставляет свои обоснования.</w:t>
      </w:r>
      <w:r>
        <w:br/>
      </w:r>
      <w:r>
        <w:rPr>
          <w:rFonts w:ascii="Times New Roman"/>
          <w:b w:val="false"/>
          <w:i w:val="false"/>
          <w:color w:val="000000"/>
          <w:sz w:val="28"/>
        </w:rPr>
        <w:t>
      Комитет одобряет или не одобряет доработанный план мероприятий в течение пяти рабочих дней с даты его повторного представления банком и (или) его акционерами.</w:t>
      </w:r>
      <w:r>
        <w:br/>
      </w:r>
      <w:r>
        <w:rPr>
          <w:rFonts w:ascii="Times New Roman"/>
          <w:b w:val="false"/>
          <w:i w:val="false"/>
          <w:color w:val="000000"/>
          <w:sz w:val="28"/>
        </w:rPr>
        <w:t>
      В случае одобрения представленного плана мероприятий Комитетом, банк и (или) его акционеры приступают к его реализации и представляют в Комитет отчет о выполнении мероприятий, в сроки, установленные планом мероприятий.</w:t>
      </w:r>
      <w:r>
        <w:br/>
      </w:r>
      <w:r>
        <w:rPr>
          <w:rFonts w:ascii="Times New Roman"/>
          <w:b w:val="false"/>
          <w:i w:val="false"/>
          <w:color w:val="000000"/>
          <w:sz w:val="28"/>
        </w:rPr>
        <w:t>
      В случае неодобрения плана мероприятий, Комитет применяет к банку и (или) его акционерам одну или несколько мер раннего реагирования посредством предъявления требований, предусмотренных частью четвертой </w:t>
      </w:r>
      <w:r>
        <w:rPr>
          <w:rFonts w:ascii="Times New Roman"/>
          <w:b w:val="false"/>
          <w:i w:val="false"/>
          <w:color w:val="000000"/>
          <w:sz w:val="28"/>
        </w:rPr>
        <w:t>пункта 3</w:t>
      </w:r>
      <w:r>
        <w:rPr>
          <w:rFonts w:ascii="Times New Roman"/>
          <w:b w:val="false"/>
          <w:i w:val="false"/>
          <w:color w:val="000000"/>
          <w:sz w:val="28"/>
        </w:rPr>
        <w:t xml:space="preserve"> статьи 45 Закона о банках.</w:t>
      </w:r>
      <w:r>
        <w:br/>
      </w:r>
      <w:r>
        <w:rPr>
          <w:rFonts w:ascii="Times New Roman"/>
          <w:b w:val="false"/>
          <w:i w:val="false"/>
          <w:color w:val="000000"/>
          <w:sz w:val="28"/>
        </w:rPr>
        <w:t>
      В случае самостоятельного выявления факторов,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Правил, банк в течение пяти рабочих дней со дня выявления указанных факторов представляет в Комитет информацию, отражающую состояние ухудшения его финансового положения с приложением плана мероприятий, предусмотренного настоящим пунктом Правил.</w:t>
      </w:r>
      <w:r>
        <w:br/>
      </w:r>
      <w:r>
        <w:rPr>
          <w:rFonts w:ascii="Times New Roman"/>
          <w:b w:val="false"/>
          <w:i w:val="false"/>
          <w:color w:val="000000"/>
          <w:sz w:val="28"/>
        </w:rPr>
        <w:t>
</w:t>
      </w:r>
      <w:r>
        <w:rPr>
          <w:rFonts w:ascii="Times New Roman"/>
          <w:b w:val="false"/>
          <w:i w:val="false"/>
          <w:color w:val="000000"/>
          <w:sz w:val="28"/>
        </w:rPr>
        <w:t>
      5. В случае выявления фактора, указанного в подпункте 3) </w:t>
      </w:r>
      <w:r>
        <w:rPr>
          <w:rFonts w:ascii="Times New Roman"/>
          <w:b w:val="false"/>
          <w:i w:val="false"/>
          <w:color w:val="000000"/>
          <w:sz w:val="28"/>
        </w:rPr>
        <w:t>пункта 2</w:t>
      </w:r>
      <w:r>
        <w:rPr>
          <w:rFonts w:ascii="Times New Roman"/>
          <w:b w:val="false"/>
          <w:i w:val="false"/>
          <w:color w:val="000000"/>
          <w:sz w:val="28"/>
        </w:rPr>
        <w:t xml:space="preserve"> Правил, и при неодобрении плана мероприятий Комитет применяет к банку и (или) его акционерам меру раннего реагирования посредством предъявления требования по прекращению начисления и (или) выплате дивидендов в соответствии с представленной ниже таблицей:</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8"/>
        <w:gridCol w:w="6582"/>
      </w:tblGrid>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превышения коэффициента достаточности собственного капитала: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ограничение на использование нераспределенного чистого дохода (в процентах)</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 до 0,00625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0,00626 до 0,0125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0,0126 до 0,01875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0,01876 до 0,025(включительно)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0,025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5"/>
    <w:p>
      <w:pPr>
        <w:spacing w:after="0"/>
        <w:ind w:left="0"/>
        <w:jc w:val="both"/>
      </w:pPr>
      <w:r>
        <w:rPr>
          <w:rFonts w:ascii="Times New Roman"/>
          <w:b w:val="false"/>
          <w:i w:val="false"/>
          <w:color w:val="000000"/>
          <w:sz w:val="28"/>
        </w:rPr>
        <w:t>      Одобрение плана мероприятий осуществляется в случаях достижения уровня превышения коэффициента достаточности собственного капитала посредством снижения активов, взвешенных по степени риска, а также увеличения в течение шести последовательных месяцев:</w:t>
      </w:r>
      <w:r>
        <w:br/>
      </w:r>
      <w:r>
        <w:rPr>
          <w:rFonts w:ascii="Times New Roman"/>
          <w:b w:val="false"/>
          <w:i w:val="false"/>
          <w:color w:val="000000"/>
          <w:sz w:val="28"/>
        </w:rPr>
        <w:t>
      уставного капитала банка;</w:t>
      </w:r>
      <w:r>
        <w:br/>
      </w:r>
      <w:r>
        <w:rPr>
          <w:rFonts w:ascii="Times New Roman"/>
          <w:b w:val="false"/>
          <w:i w:val="false"/>
          <w:color w:val="000000"/>
          <w:sz w:val="28"/>
        </w:rPr>
        <w:t>
      нераспределенного чистого дохода;</w:t>
      </w:r>
      <w:r>
        <w:br/>
      </w:r>
      <w:r>
        <w:rPr>
          <w:rFonts w:ascii="Times New Roman"/>
          <w:b w:val="false"/>
          <w:i w:val="false"/>
          <w:color w:val="000000"/>
          <w:sz w:val="28"/>
        </w:rPr>
        <w:t>
      резервов, сформированных за счет нераспределенного чистого дохода.</w:t>
      </w:r>
      <w:r>
        <w:br/>
      </w:r>
      <w:r>
        <w:rPr>
          <w:rFonts w:ascii="Times New Roman"/>
          <w:b w:val="false"/>
          <w:i w:val="false"/>
          <w:color w:val="000000"/>
          <w:sz w:val="28"/>
        </w:rPr>
        <w:t>
      6. Банк, определенный системообразующим, а также банк, осуществляющий (осуществивший) реструктуризацию в соответствии с Законом о банках, ежегодно в срок до 1 марта отчетного года представляет в Комитет прогноз изменения показателей, указанных в подпунктах 1), 8), 13), 15), 16) и 17) </w:t>
      </w:r>
      <w:r>
        <w:rPr>
          <w:rFonts w:ascii="Times New Roman"/>
          <w:b w:val="false"/>
          <w:i w:val="false"/>
          <w:color w:val="000000"/>
          <w:sz w:val="28"/>
        </w:rPr>
        <w:t>пункта 1</w:t>
      </w:r>
      <w:r>
        <w:rPr>
          <w:rFonts w:ascii="Times New Roman"/>
          <w:b w:val="false"/>
          <w:i w:val="false"/>
          <w:color w:val="000000"/>
          <w:sz w:val="28"/>
        </w:rPr>
        <w:t xml:space="preserve"> Правил. Прогноз изменения показателей составляется до окончания финансового года.</w:t>
      </w:r>
      <w:r>
        <w:br/>
      </w:r>
      <w:r>
        <w:rPr>
          <w:rFonts w:ascii="Times New Roman"/>
          <w:b w:val="false"/>
          <w:i w:val="false"/>
          <w:color w:val="000000"/>
          <w:sz w:val="28"/>
        </w:rPr>
        <w:t>
      Прогноз изменения показателей пересматривается не более одного раза в год с представлением обоснования.</w:t>
      </w:r>
      <w:r>
        <w:br/>
      </w:r>
      <w:r>
        <w:rPr>
          <w:rFonts w:ascii="Times New Roman"/>
          <w:b w:val="false"/>
          <w:i w:val="false"/>
          <w:color w:val="000000"/>
          <w:sz w:val="28"/>
        </w:rPr>
        <w:t>
      Комитет осуществляет проверку соответствия прогнозных значений показателей текущим значениям. В случае выявления в прогнозе изменения показателей факторов, влияющих на ухудшение финансового положения банка, Комитет осуществляет мероприятия, предусмотренные </w:t>
      </w:r>
      <w:r>
        <w:rPr>
          <w:rFonts w:ascii="Times New Roman"/>
          <w:b w:val="false"/>
          <w:i w:val="false"/>
          <w:color w:val="000000"/>
          <w:sz w:val="28"/>
        </w:rPr>
        <w:t>пунктом 4</w:t>
      </w:r>
      <w:r>
        <w:rPr>
          <w:rFonts w:ascii="Times New Roman"/>
          <w:b w:val="false"/>
          <w:i w:val="false"/>
          <w:color w:val="000000"/>
          <w:sz w:val="28"/>
        </w:rPr>
        <w:t xml:space="preserve"> Правил.</w:t>
      </w:r>
      <w:r>
        <w:br/>
      </w:r>
      <w:r>
        <w:rPr>
          <w:rFonts w:ascii="Times New Roman"/>
          <w:b w:val="false"/>
          <w:i w:val="false"/>
          <w:color w:val="000000"/>
          <w:sz w:val="28"/>
        </w:rPr>
        <w:t>
      Прогноз изменения показателей, указанных в подпунктах 1), 8) и 13) </w:t>
      </w:r>
      <w:r>
        <w:rPr>
          <w:rFonts w:ascii="Times New Roman"/>
          <w:b w:val="false"/>
          <w:i w:val="false"/>
          <w:color w:val="000000"/>
          <w:sz w:val="28"/>
        </w:rPr>
        <w:t>пункта 1</w:t>
      </w:r>
      <w:r>
        <w:rPr>
          <w:rFonts w:ascii="Times New Roman"/>
          <w:b w:val="false"/>
          <w:i w:val="false"/>
          <w:color w:val="000000"/>
          <w:sz w:val="28"/>
        </w:rPr>
        <w:t xml:space="preserve"> Правил, дополняется оценкой эффекта влияния стрессового сценария.</w:t>
      </w:r>
      <w:r>
        <w:br/>
      </w:r>
      <w:r>
        <w:rPr>
          <w:rFonts w:ascii="Times New Roman"/>
          <w:b w:val="false"/>
          <w:i w:val="false"/>
          <w:color w:val="000000"/>
          <w:sz w:val="28"/>
        </w:rPr>
        <w:t>
      Сценарий и рекомендации по параметрам стрессового сценария предоставляются банку, определенному системообразующим, уполномоченным органом за месяц до срока предоставления прогнозных показателей в Комитет.</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26.07.2013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 случае выявления факторов,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Правил, а также в случае выявления в прогнозе изменения показателей факторов, влияющих на ухудшение финансового положения, банк, определенный системообразующим уполномоченным органом и банк, осуществляющий (осуществивший)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представляет план мероприятий, предусматривающий срок поэтапного перехода на значения коэффициентов достаточности собственного капитала (К1-1, К1-2, К2) и лимитов открытой валютной позиции, установленные </w:t>
      </w:r>
      <w:r>
        <w:rPr>
          <w:rFonts w:ascii="Times New Roman"/>
          <w:b w:val="false"/>
          <w:i w:val="false"/>
          <w:color w:val="000000"/>
          <w:sz w:val="28"/>
        </w:rPr>
        <w:t>постановлением № 358</w:t>
      </w:r>
      <w:r>
        <w:rPr>
          <w:rFonts w:ascii="Times New Roman"/>
          <w:b w:val="false"/>
          <w:i w:val="false"/>
          <w:color w:val="000000"/>
          <w:sz w:val="28"/>
        </w:rPr>
        <w:t>.</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header.xml" Type="http://schemas.openxmlformats.org/officeDocument/2006/relationships/header" Id="rId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