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f669" w14:textId="dcff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транспорта и коммуникаций Республики Казахстан от 25 июня 2011 года № 390 "Об утверждении Правил подготовки к полетам для гражданской и экспериментальной авиации"</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29 июля 2013 года № 577. Зарегистрирован в Министерстве юстиции Республики Казахстан 28 августа 2013 года № 8680</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Республики Казахстан, регулирующих деятельность в сфере гражданской авиации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25 июня 2011 года № 390 «Об утверждении Правил подготовки к полетам для гражданской и экспериментальной авиации» (зарегистрированный в Реестре государственной регистрации нормативных правовых актов под № 7102, опубликованный в газете «Юридическая газета» от 13 октября 2011 г. № 149 (2139); от 14 октября 2011 г. № 150 (2140); от 18 октября 2011 г. № 151 (2141); от 19 октября 2011 г. № 152 (2142))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подготовки к полетам для гражданской и экспериментальной авиации,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 зависимости от характера задания на полет, производится подбор и подготовка маршрутных (полетных) карт. Основными маршрутными (полетными) картами, применяемыми при выполнении полетов по правилам полетов по приборам (далее – ППП), являются радионавигационные карты (далее – РНК), а также карты, изданные специализированными организациями.</w:t>
      </w:r>
      <w:r>
        <w:br/>
      </w:r>
      <w:r>
        <w:rPr>
          <w:rFonts w:ascii="Times New Roman"/>
          <w:b w:val="false"/>
          <w:i w:val="false"/>
          <w:color w:val="000000"/>
          <w:sz w:val="28"/>
        </w:rPr>
        <w:t>
      При выполнении полетов по правилам визуальных полетов, когда специализированные карты не содержат всех необходимых данных для визуальной ориентировки, для соблюдения требований визуальной аэронавигации применяется аэронавигационные карты (условное изображение участка земной поверхности, его рельефа и искусственных сооружений, специально предназначенное для аэронавигации) масштаба 1:1 000 000 или более крупного масштаба (1:500 000, 1:250 000).</w:t>
      </w:r>
      <w:r>
        <w:br/>
      </w:r>
      <w:r>
        <w:rPr>
          <w:rFonts w:ascii="Times New Roman"/>
          <w:b w:val="false"/>
          <w:i w:val="false"/>
          <w:color w:val="000000"/>
          <w:sz w:val="28"/>
        </w:rPr>
        <w:t>
      На маршрутные (полетные) карты наносятся:</w:t>
      </w:r>
      <w:r>
        <w:br/>
      </w:r>
      <w:r>
        <w:rPr>
          <w:rFonts w:ascii="Times New Roman"/>
          <w:b w:val="false"/>
          <w:i w:val="false"/>
          <w:color w:val="000000"/>
          <w:sz w:val="28"/>
        </w:rPr>
        <w:t>
      1) линии ограничительных рубежей (пеленгов, азимутов) черного цвета;</w:t>
      </w:r>
      <w:r>
        <w:br/>
      </w:r>
      <w:r>
        <w:rPr>
          <w:rFonts w:ascii="Times New Roman"/>
          <w:b w:val="false"/>
          <w:i w:val="false"/>
          <w:color w:val="000000"/>
          <w:sz w:val="28"/>
        </w:rPr>
        <w:t xml:space="preserve">
      2) границы районов ОВД и их названия зеленого цвета; </w:t>
      </w:r>
      <w:r>
        <w:br/>
      </w:r>
      <w:r>
        <w:rPr>
          <w:rFonts w:ascii="Times New Roman"/>
          <w:b w:val="false"/>
          <w:i w:val="false"/>
          <w:color w:val="000000"/>
          <w:sz w:val="28"/>
        </w:rPr>
        <w:t xml:space="preserve">
      3) линии заданного пути (далее - ЛЗП) и расстояния между пунктами ИПМ, ППМ и КПМ в разрывах ЛЗП; </w:t>
      </w:r>
      <w:r>
        <w:br/>
      </w:r>
      <w:r>
        <w:rPr>
          <w:rFonts w:ascii="Times New Roman"/>
          <w:b w:val="false"/>
          <w:i w:val="false"/>
          <w:color w:val="000000"/>
          <w:sz w:val="28"/>
        </w:rPr>
        <w:t>
      4) при выполнении полетов с ортодромическими курсовыми приборами - ортодромические магнитные или истинные путевые углы (далее соответственно - ОМПУ, ОПУ), измеренные от опорных меридианов, и текущие магнитные путевые углы - начальные (на участках маршрута большой протяженности повторяются при изменении на величину 3-5</w:t>
      </w:r>
      <w:r>
        <w:rPr>
          <w:rFonts w:ascii="Times New Roman"/>
          <w:b w:val="false"/>
          <w:i w:val="false"/>
          <w:color w:val="000000"/>
          <w:vertAlign w:val="superscript"/>
        </w:rPr>
        <w:t>о</w:t>
      </w:r>
      <w:r>
        <w:rPr>
          <w:rFonts w:ascii="Times New Roman"/>
          <w:b w:val="false"/>
          <w:i w:val="false"/>
          <w:color w:val="000000"/>
          <w:sz w:val="28"/>
        </w:rPr>
        <w:t>) вдоль ЛЗП со стрелкой в направлении полета;</w:t>
      </w:r>
      <w:r>
        <w:br/>
      </w:r>
      <w:r>
        <w:rPr>
          <w:rFonts w:ascii="Times New Roman"/>
          <w:b w:val="false"/>
          <w:i w:val="false"/>
          <w:color w:val="000000"/>
          <w:sz w:val="28"/>
        </w:rPr>
        <w:t>
      5) при выполнении полетов с локсодромическими курсовыми приборами - магнитные путевые углы (далее - МПУ), измеренные от средних меридианов по участкам маршрута; в этом случае на участках маршрута большой протяженности выбираются характерные контрольные ориентиры через 50 - 200 км, рядом с которыми указываются новые значения МПУ;</w:t>
      </w:r>
      <w:r>
        <w:br/>
      </w:r>
      <w:r>
        <w:rPr>
          <w:rFonts w:ascii="Times New Roman"/>
          <w:b w:val="false"/>
          <w:i w:val="false"/>
          <w:color w:val="000000"/>
          <w:sz w:val="28"/>
        </w:rPr>
        <w:t xml:space="preserve">
      6) доминирующие высоты: в полосе по 50 км в обе стороны от оси маршрута; в районе аэродрома - в радиусе 50 км от контрольной точки аэродрома (далее - КТА) в прямоугольниках черного цвета; </w:t>
      </w:r>
      <w:r>
        <w:br/>
      </w:r>
      <w:r>
        <w:rPr>
          <w:rFonts w:ascii="Times New Roman"/>
          <w:b w:val="false"/>
          <w:i w:val="false"/>
          <w:color w:val="000000"/>
          <w:sz w:val="28"/>
        </w:rPr>
        <w:t>
      7) значения магнитных склонений в районе аэродрома и на каждом участке маршрута, в окружностях диаметром 8 мм, через 1</w:t>
      </w:r>
      <w:r>
        <w:rPr>
          <w:rFonts w:ascii="Times New Roman"/>
          <w:b w:val="false"/>
          <w:i w:val="false"/>
          <w:color w:val="000000"/>
          <w:vertAlign w:val="superscript"/>
        </w:rPr>
        <w:t>о</w:t>
      </w:r>
      <w:r>
        <w:rPr>
          <w:rFonts w:ascii="Times New Roman"/>
          <w:b w:val="false"/>
          <w:i w:val="false"/>
          <w:color w:val="000000"/>
          <w:sz w:val="28"/>
        </w:rPr>
        <w:t>;</w:t>
      </w:r>
      <w:r>
        <w:br/>
      </w:r>
      <w:r>
        <w:rPr>
          <w:rFonts w:ascii="Times New Roman"/>
          <w:b w:val="false"/>
          <w:i w:val="false"/>
          <w:color w:val="000000"/>
          <w:sz w:val="28"/>
        </w:rPr>
        <w:t xml:space="preserve">
      8) линии ограничительных рубежей (пеленгов, азимутов) черного цвета; </w:t>
      </w:r>
      <w:r>
        <w:br/>
      </w:r>
      <w:r>
        <w:rPr>
          <w:rFonts w:ascii="Times New Roman"/>
          <w:b w:val="false"/>
          <w:i w:val="false"/>
          <w:color w:val="000000"/>
          <w:sz w:val="28"/>
        </w:rPr>
        <w:t xml:space="preserve">
      9) границы районов ОВД и их названия зеленого цвета.»;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Для воздушных судов, не оборудованных комплексной системой обработки и индикации пилотажных данных на маршрутных (полетных) картах, на участках маршрута полетов на горные аэродромы, наносятся установленные рубежи начала снижения с указанием расстояния до аэродрома и нижнего безопасного эшелона.»;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«15. При полетах в горной местности, по необходимости, на свободном месте маршрутной (полетной) карты наносится профиль рельефа местности: </w:t>
      </w:r>
      <w:r>
        <w:br/>
      </w:r>
      <w:r>
        <w:rPr>
          <w:rFonts w:ascii="Times New Roman"/>
          <w:b w:val="false"/>
          <w:i w:val="false"/>
          <w:color w:val="000000"/>
          <w:sz w:val="28"/>
        </w:rPr>
        <w:t>
      1) для полетов по ППП для самолетов с газотурбинными двигателями, не оборудованных комплексной системой обработки и индикации пилотажных данных, на участках снижения и набора высоты, а для самолетов с поршневыми двигателями по всему маршруту в полосе шириной по 25 км в обе стороны от оси маршрута;</w:t>
      </w:r>
      <w:r>
        <w:br/>
      </w:r>
      <w:r>
        <w:rPr>
          <w:rFonts w:ascii="Times New Roman"/>
          <w:b w:val="false"/>
          <w:i w:val="false"/>
          <w:color w:val="000000"/>
          <w:sz w:val="28"/>
        </w:rPr>
        <w:t xml:space="preserve">
      2) для полетов по ПВП в пределах ширины воздушной трассы. </w:t>
      </w:r>
      <w:r>
        <w:br/>
      </w:r>
      <w:r>
        <w:rPr>
          <w:rFonts w:ascii="Times New Roman"/>
          <w:b w:val="false"/>
          <w:i w:val="false"/>
          <w:color w:val="000000"/>
          <w:sz w:val="28"/>
        </w:rPr>
        <w:t>
      Для воздушных судов оборудованных комплексной системой обработки и индикации пилотажных данных, обеспечивающей непрерывное представление траектории полета, нанесение на маршрутных (полетных) картах установленных рубежей начала снижения и профиля рельефа местности не требуется.»;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Рабочий план полета (навигационный расчет) составляется на каждый намечаемый полет или серию полетов в соответствие с РПП эксплуатанта. Рабочий план полета подписывается командиром воздушного судна и, когда это предусмотрено РПП, сотрудником по обеспечению полетов (назначен эксплуатантом для осуществления контроля и наблюдения за производством полетов).»;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По завершению подготовки в комнате брифинга командир воздушного судна или назначенный представитель эксплуатанта (сотрудник по обеспечению полетов) предъявляет диспетчеру брифинга органа ОВД аэродрома вылета план полета ОВД (флайт-план) для получения разрешения на использование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Аэродромный метеорологический орган обеспечивает своевременную подготовку метеорологической документации для эксплуатанта и членов летного экипажа. Метеорологическая документация предоставляется экипажу воздушного судна (эксплуатанту или назначенному им представителю) в офисе аэродромного метеорологического органа или в комнате брифинга. По запросу проводится консультация членов летного экипажа и (или) другого персонала, связанного с производством полетов.»;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«46. Диспетчер по брифингу выполняет следующие функции: </w:t>
      </w:r>
      <w:r>
        <w:br/>
      </w:r>
      <w:r>
        <w:rPr>
          <w:rFonts w:ascii="Times New Roman"/>
          <w:b w:val="false"/>
          <w:i w:val="false"/>
          <w:color w:val="000000"/>
          <w:sz w:val="28"/>
        </w:rPr>
        <w:t xml:space="preserve">
      1) получает от службы аэронавигационной информации бюллетени предполетной информации, NOTAM и SNOTAM; </w:t>
      </w:r>
      <w:r>
        <w:br/>
      </w:r>
      <w:r>
        <w:rPr>
          <w:rFonts w:ascii="Times New Roman"/>
          <w:b w:val="false"/>
          <w:i w:val="false"/>
          <w:color w:val="000000"/>
          <w:sz w:val="28"/>
        </w:rPr>
        <w:t xml:space="preserve">
      2) своевременно выставляет на стенд информацию о запретах и ограничениях на полеты; </w:t>
      </w:r>
      <w:r>
        <w:br/>
      </w:r>
      <w:r>
        <w:rPr>
          <w:rFonts w:ascii="Times New Roman"/>
          <w:b w:val="false"/>
          <w:i w:val="false"/>
          <w:color w:val="000000"/>
          <w:sz w:val="28"/>
        </w:rPr>
        <w:t xml:space="preserve">
      3) выдает справочный материал экипажам воздушных судов, касающийся аэронавигационной обстановки; </w:t>
      </w:r>
      <w:r>
        <w:br/>
      </w:r>
      <w:r>
        <w:rPr>
          <w:rFonts w:ascii="Times New Roman"/>
          <w:b w:val="false"/>
          <w:i w:val="false"/>
          <w:color w:val="000000"/>
          <w:sz w:val="28"/>
        </w:rPr>
        <w:t>
      4) формирует пакеты предполетной информации для экипажей воздушных судов в соответствии с суточным планом полетов, в которые входят: бланки флайт-планов, бюллетень предполетной информации, NOTAM, SNOTAM и передает его экипажу воздушного судна (эксплуатанту или назначенному им представителю);</w:t>
      </w:r>
      <w:r>
        <w:br/>
      </w:r>
      <w:r>
        <w:rPr>
          <w:rFonts w:ascii="Times New Roman"/>
          <w:b w:val="false"/>
          <w:i w:val="false"/>
          <w:color w:val="000000"/>
          <w:sz w:val="28"/>
        </w:rPr>
        <w:t>
      5) направляет флайт-план (план полета или полетов) в соответствующие адреса согласно требований </w:t>
      </w:r>
      <w:r>
        <w:rPr>
          <w:rFonts w:ascii="Times New Roman"/>
          <w:b w:val="false"/>
          <w:i w:val="false"/>
          <w:color w:val="000000"/>
          <w:sz w:val="28"/>
        </w:rPr>
        <w:t>Правил</w:t>
      </w:r>
      <w:r>
        <w:rPr>
          <w:rFonts w:ascii="Times New Roman"/>
          <w:b w:val="false"/>
          <w:i w:val="false"/>
          <w:color w:val="000000"/>
          <w:sz w:val="28"/>
        </w:rPr>
        <w:t xml:space="preserve"> использования воздушного пространства Республики Казахстан, утвержденных постановлением Правительства Республики Казахстан от 12 мая 2011 года № 506 «Об утверждении Правил использования воздушного пространства Республики Казахстан»;</w:t>
      </w:r>
      <w:r>
        <w:br/>
      </w:r>
      <w:r>
        <w:rPr>
          <w:rFonts w:ascii="Times New Roman"/>
          <w:b w:val="false"/>
          <w:i w:val="false"/>
          <w:color w:val="000000"/>
          <w:sz w:val="28"/>
        </w:rPr>
        <w:t xml:space="preserve">
      6) производит отметку о проведении информационно-консультативного обслуживания в копии суточного плана полетов аэропорта; </w:t>
      </w:r>
      <w:r>
        <w:br/>
      </w:r>
      <w:r>
        <w:rPr>
          <w:rFonts w:ascii="Times New Roman"/>
          <w:b w:val="false"/>
          <w:i w:val="false"/>
          <w:color w:val="000000"/>
          <w:sz w:val="28"/>
        </w:rPr>
        <w:t xml:space="preserve">
      7) при поступлении заявок на рейсы, не включенные в суточный план полетов, подготавливает для них пакеты предполетной информации; </w:t>
      </w:r>
      <w:r>
        <w:br/>
      </w:r>
      <w:r>
        <w:rPr>
          <w:rFonts w:ascii="Times New Roman"/>
          <w:b w:val="false"/>
          <w:i w:val="false"/>
          <w:color w:val="000000"/>
          <w:sz w:val="28"/>
        </w:rPr>
        <w:t xml:space="preserve">
      8) запрашивает у служб аэронавигационной информации бюллетени предполетной информации на основе поданных заявок от экипажей воздушных судов; </w:t>
      </w:r>
      <w:r>
        <w:br/>
      </w:r>
      <w:r>
        <w:rPr>
          <w:rFonts w:ascii="Times New Roman"/>
          <w:b w:val="false"/>
          <w:i w:val="false"/>
          <w:color w:val="000000"/>
          <w:sz w:val="28"/>
        </w:rPr>
        <w:t>
      9) подает заявку службам органов метеорологического обеспечения на подготовку метеорологической документации на основе поданных заявок от экипажей воздушных судов (эксплуатанта или назначенного им представителя);</w:t>
      </w:r>
      <w:r>
        <w:br/>
      </w:r>
      <w:r>
        <w:rPr>
          <w:rFonts w:ascii="Times New Roman"/>
          <w:b w:val="false"/>
          <w:i w:val="false"/>
          <w:color w:val="000000"/>
          <w:sz w:val="28"/>
        </w:rPr>
        <w:t>
      10) требует от экипажей воздушных судов правильного заполнения флайт-плана.»;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«47. Диспетчер по брифингу обеспечивает и контролирует: </w:t>
      </w:r>
      <w:r>
        <w:br/>
      </w:r>
      <w:r>
        <w:rPr>
          <w:rFonts w:ascii="Times New Roman"/>
          <w:b w:val="false"/>
          <w:i w:val="false"/>
          <w:color w:val="000000"/>
          <w:sz w:val="28"/>
        </w:rPr>
        <w:t>
      1) своевременное предоставление пакета предполетной информации для экипажей воздушных судов, вылетающих из аэропорта в соответствие с суточным планом полетов аэропорта и поданного флайт-плана;</w:t>
      </w:r>
      <w:r>
        <w:br/>
      </w:r>
      <w:r>
        <w:rPr>
          <w:rFonts w:ascii="Times New Roman"/>
          <w:b w:val="false"/>
          <w:i w:val="false"/>
          <w:color w:val="000000"/>
          <w:sz w:val="28"/>
        </w:rPr>
        <w:t xml:space="preserve">
      2) своевременность доведения информации о запретах и ограничениях полетов; </w:t>
      </w:r>
      <w:r>
        <w:br/>
      </w:r>
      <w:r>
        <w:rPr>
          <w:rFonts w:ascii="Times New Roman"/>
          <w:b w:val="false"/>
          <w:i w:val="false"/>
          <w:color w:val="000000"/>
          <w:sz w:val="28"/>
        </w:rPr>
        <w:t xml:space="preserve">
      3) сохранность документов, находящихся в комнате брифинга; </w:t>
      </w:r>
      <w:r>
        <w:br/>
      </w:r>
      <w:r>
        <w:rPr>
          <w:rFonts w:ascii="Times New Roman"/>
          <w:b w:val="false"/>
          <w:i w:val="false"/>
          <w:color w:val="000000"/>
          <w:sz w:val="28"/>
        </w:rPr>
        <w:t>
      4) обеспечение качественного информационно-консультативного обслуживания экипажей воздушных судов (эксплуатантов или назначенных ими представителей) и выполнением своей должностной инструкции.»;</w:t>
      </w:r>
      <w:r>
        <w:br/>
      </w:r>
      <w:r>
        <w:rPr>
          <w:rFonts w:ascii="Times New Roman"/>
          <w:b w:val="false"/>
          <w:i w:val="false"/>
          <w:color w:val="000000"/>
          <w:sz w:val="28"/>
        </w:rPr>
        <w:t>
</w:t>
      </w:r>
      <w:r>
        <w:rPr>
          <w:rFonts w:ascii="Times New Roman"/>
          <w:b w:val="false"/>
          <w:i w:val="false"/>
          <w:color w:val="000000"/>
          <w:sz w:val="28"/>
        </w:rPr>
        <w:t>
      дополнить пунктом 48-1 следующего содержания:</w:t>
      </w:r>
      <w:r>
        <w:br/>
      </w:r>
      <w:r>
        <w:rPr>
          <w:rFonts w:ascii="Times New Roman"/>
          <w:b w:val="false"/>
          <w:i w:val="false"/>
          <w:color w:val="000000"/>
          <w:sz w:val="28"/>
        </w:rPr>
        <w:t>
      «48-1. При предполетном информационно-консультативном обслуживании экипажей воздушных судов в промежуточных аэропортах разрешается доставка на борт метеорологической информации и полетной документации эксплуатантом или назначенным им представителем в целях сокращения времени предполетной подготовки.</w:t>
      </w:r>
      <w:r>
        <w:br/>
      </w:r>
      <w:r>
        <w:rPr>
          <w:rFonts w:ascii="Times New Roman"/>
          <w:b w:val="false"/>
          <w:i w:val="false"/>
          <w:color w:val="000000"/>
          <w:sz w:val="28"/>
        </w:rPr>
        <w:t>
      Эксплуатант или назначенный им представитель организует своевременное обеспечение и доставку экипажу воздушного судна метеорологической информации, предусмотренной </w:t>
      </w:r>
      <w:r>
        <w:rPr>
          <w:rFonts w:ascii="Times New Roman"/>
          <w:b w:val="false"/>
          <w:i w:val="false"/>
          <w:color w:val="000000"/>
          <w:sz w:val="28"/>
        </w:rPr>
        <w:t>Основными правилами</w:t>
      </w:r>
      <w:r>
        <w:rPr>
          <w:rFonts w:ascii="Times New Roman"/>
          <w:b w:val="false"/>
          <w:i w:val="false"/>
          <w:color w:val="000000"/>
          <w:sz w:val="28"/>
        </w:rPr>
        <w:t xml:space="preserve"> полетов в воздушном пространстве Республики Казахстан, утвержденными постановлением Правительства Республики Казахстан от 18 января 2012 года № 103 «Об утверждении Основных правил полетов в воздушном пространстве Республики Казахстан», и полетной документации, в которую входят: флайт-план, бюллетень предполетной информации, извещения NOTAM (SNOTAM, ASHTAM) и навигационный план полета.»;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 3-1 следующего содержания:</w:t>
      </w:r>
      <w:r>
        <w:br/>
      </w:r>
      <w:r>
        <w:rPr>
          <w:rFonts w:ascii="Times New Roman"/>
          <w:b w:val="false"/>
          <w:i w:val="false"/>
          <w:color w:val="000000"/>
          <w:sz w:val="28"/>
        </w:rPr>
        <w:t xml:space="preserve">
      «§ 3-1. Особенности предполетной подготовки членов летного экипажа, если для этих целей эксплуатантом предусмотрено использование сотрудников по обеспечению полетов. </w:t>
      </w:r>
      <w:r>
        <w:br/>
      </w:r>
      <w:r>
        <w:rPr>
          <w:rFonts w:ascii="Times New Roman"/>
          <w:b w:val="false"/>
          <w:i w:val="false"/>
          <w:color w:val="000000"/>
          <w:sz w:val="28"/>
        </w:rPr>
        <w:t xml:space="preserve">
      48-2. Предполетная подготовка членов летного экипажа с использованием сотрудников по обеспечению полетов, проводится в том случае, если процедуры эксплуатационного контроля и полетно-диспетчерского сопровождения самолетов эксплуатанта утверждены в уполномоченном органе. </w:t>
      </w:r>
      <w:r>
        <w:br/>
      </w:r>
      <w:r>
        <w:rPr>
          <w:rFonts w:ascii="Times New Roman"/>
          <w:b w:val="false"/>
          <w:i w:val="false"/>
          <w:color w:val="000000"/>
          <w:sz w:val="28"/>
        </w:rPr>
        <w:t>
      В этом случае сотрудник по обеспечению полетов и командир воздушного судна отвечает за качество проведения предполетной подготовки и руководство полетами.</w:t>
      </w:r>
      <w:r>
        <w:br/>
      </w:r>
      <w:r>
        <w:rPr>
          <w:rFonts w:ascii="Times New Roman"/>
          <w:b w:val="false"/>
          <w:i w:val="false"/>
          <w:color w:val="000000"/>
          <w:sz w:val="28"/>
        </w:rPr>
        <w:t>
      48-3. Сотрудник по обеспечению полетов эксплуатанта, выполняет следующие функции:</w:t>
      </w:r>
      <w:r>
        <w:br/>
      </w:r>
      <w:r>
        <w:rPr>
          <w:rFonts w:ascii="Times New Roman"/>
          <w:b w:val="false"/>
          <w:i w:val="false"/>
          <w:color w:val="000000"/>
          <w:sz w:val="28"/>
        </w:rPr>
        <w:t xml:space="preserve">
      1) при подготовке к полету, поддерживает контакты с органами обслуживания воздушного движения, аэродромными метеорологическими органами и службой эксплуатации радиотехнического оборудования и связи (ЭРТОС); </w:t>
      </w:r>
      <w:r>
        <w:br/>
      </w:r>
      <w:r>
        <w:rPr>
          <w:rFonts w:ascii="Times New Roman"/>
          <w:b w:val="false"/>
          <w:i w:val="false"/>
          <w:color w:val="000000"/>
          <w:sz w:val="28"/>
        </w:rPr>
        <w:t>
      2) проводит консультации с аэродромным метеорологическим органом аэродрома вылета или органом метеорологического обеспечения эксплуатанта (при его наличии), и получает метеорологическую информацию, касающуюся предстоящего полета, анализирует фактическое и ожидаемое состояние погоды на аэродромах вылета, посадки и запасных, прогнозов погоды по маршруту полета и прилегающим районам;</w:t>
      </w:r>
      <w:r>
        <w:br/>
      </w:r>
      <w:r>
        <w:rPr>
          <w:rFonts w:ascii="Times New Roman"/>
          <w:b w:val="false"/>
          <w:i w:val="false"/>
          <w:color w:val="000000"/>
          <w:sz w:val="28"/>
        </w:rPr>
        <w:t>
      3) направляет информацию в отношении планов осуществления полетов в соответствующие отделы организации эксплуатанта;</w:t>
      </w:r>
      <w:r>
        <w:br/>
      </w:r>
      <w:r>
        <w:rPr>
          <w:rFonts w:ascii="Times New Roman"/>
          <w:b w:val="false"/>
          <w:i w:val="false"/>
          <w:color w:val="000000"/>
          <w:sz w:val="28"/>
        </w:rPr>
        <w:t>
      4) получает от диспетчера брифинга аэродрома вылета (службы аэронавигационной информации) или от специализированных компаний, оказывающих услуги по аэронавигационному обеспечению и планированию полетов бюллетени предполетной информации, извещения NOTAM (SNOTAM, ASHTAM), информацию о запретах и ограничениях на полеты;</w:t>
      </w:r>
      <w:r>
        <w:br/>
      </w:r>
      <w:r>
        <w:rPr>
          <w:rFonts w:ascii="Times New Roman"/>
          <w:b w:val="false"/>
          <w:i w:val="false"/>
          <w:color w:val="000000"/>
          <w:sz w:val="28"/>
        </w:rPr>
        <w:t>
      5) анализирует бюллетени предполетной информации, извещения NOTAM (SNOTAM, ASHTAM), выбирает запасные аэродромы для полетов самолетов с газотурбинными двигателями продолжительностью более 60 минут до запасного аэродрома на маршруте с увеличенным временем ухода на запасной аэродром (далее - EDTO) и самый безопасный и экономичный маршрут и профиль полета;</w:t>
      </w:r>
      <w:r>
        <w:br/>
      </w:r>
      <w:r>
        <w:rPr>
          <w:rFonts w:ascii="Times New Roman"/>
          <w:b w:val="false"/>
          <w:i w:val="false"/>
          <w:color w:val="000000"/>
          <w:sz w:val="28"/>
        </w:rPr>
        <w:t>
      6) рассчитывает количество топлива, необходимое для безопасного выполнения полета;</w:t>
      </w:r>
      <w:r>
        <w:br/>
      </w:r>
      <w:r>
        <w:rPr>
          <w:rFonts w:ascii="Times New Roman"/>
          <w:b w:val="false"/>
          <w:i w:val="false"/>
          <w:color w:val="000000"/>
          <w:sz w:val="28"/>
        </w:rPr>
        <w:t>
      7) получает от специализированных компаний, оказывающих услуги по аэронавигационному обеспечению и планированию полетов, или готовит самостоятельно рабочие планы полета, с учетом метеорологических условий на маршруте полета, на основных и запасных аэродромах, бюллетеней предполетной информации, извещений NOTAM (SNOTAM, ASHTAM), перечней минимального оборудования (MEL), информации о максимально допустимых взлетных и посадочных массах воздушного судна и передает этот план на рассмотрение командиру воздушного судна;</w:t>
      </w:r>
      <w:r>
        <w:br/>
      </w:r>
      <w:r>
        <w:rPr>
          <w:rFonts w:ascii="Times New Roman"/>
          <w:b w:val="false"/>
          <w:i w:val="false"/>
          <w:color w:val="000000"/>
          <w:sz w:val="28"/>
        </w:rPr>
        <w:t>
      8) подготавливает всю последнюю информацию и данные, касающиеся стандартного вылета по приборам, маршрутных средств, эксплуатационных приемов снижения шума, аэронавигационных средств, аэродромных средств и оборудования, правил ОВД и связи, бюллетеней предполетной информации, извещений NOTAM (SNOTAM, ASHTAM), состояния взлетно-посадочных полос, средств поиска и спасания, а также информацию и предписания, которые могут повлиять на полет;</w:t>
      </w:r>
      <w:r>
        <w:br/>
      </w:r>
      <w:r>
        <w:rPr>
          <w:rFonts w:ascii="Times New Roman"/>
          <w:b w:val="false"/>
          <w:i w:val="false"/>
          <w:color w:val="000000"/>
          <w:sz w:val="28"/>
        </w:rPr>
        <w:t>
      9) инициирует задержку или отмену рейса, если опасные условия создают угрозу безопасности полета;</w:t>
      </w:r>
      <w:r>
        <w:br/>
      </w:r>
      <w:r>
        <w:rPr>
          <w:rFonts w:ascii="Times New Roman"/>
          <w:b w:val="false"/>
          <w:i w:val="false"/>
          <w:color w:val="000000"/>
          <w:sz w:val="28"/>
        </w:rPr>
        <w:t>
      10) присутствует вместе с командиром воздушного судна во время  предполетной метеорологической консультации в аэродромном метеорологическом органе (если требуется консультация);</w:t>
      </w:r>
      <w:r>
        <w:br/>
      </w:r>
      <w:r>
        <w:rPr>
          <w:rFonts w:ascii="Times New Roman"/>
          <w:b w:val="false"/>
          <w:i w:val="false"/>
          <w:color w:val="000000"/>
          <w:sz w:val="28"/>
        </w:rPr>
        <w:t xml:space="preserve">
      11) передает командиру воздушного судна полученную метеорологическую информацию и дает консультации в отношении маршрутов, абсолютных высот и линии пути, которые будут необходимы, а также в отношении того, какие запасные аэродромы считаются пригодными для различных аэропортов; </w:t>
      </w:r>
      <w:r>
        <w:br/>
      </w:r>
      <w:r>
        <w:rPr>
          <w:rFonts w:ascii="Times New Roman"/>
          <w:b w:val="false"/>
          <w:i w:val="false"/>
          <w:color w:val="000000"/>
          <w:sz w:val="28"/>
        </w:rPr>
        <w:t xml:space="preserve">
      12) предъявляет командиру воздушного судна анализ маршрута и рабочий план полета, который он подготовил, обращая его внимание на факторы, которые повлияли на выбор маршрута; </w:t>
      </w:r>
      <w:r>
        <w:br/>
      </w:r>
      <w:r>
        <w:rPr>
          <w:rFonts w:ascii="Times New Roman"/>
          <w:b w:val="false"/>
          <w:i w:val="false"/>
          <w:color w:val="000000"/>
          <w:sz w:val="28"/>
        </w:rPr>
        <w:t>
      13) получает одобрение рабочего плана полета командиром воздушного судна;</w:t>
      </w:r>
      <w:r>
        <w:br/>
      </w:r>
      <w:r>
        <w:rPr>
          <w:rFonts w:ascii="Times New Roman"/>
          <w:b w:val="false"/>
          <w:i w:val="false"/>
          <w:color w:val="000000"/>
          <w:sz w:val="28"/>
        </w:rPr>
        <w:t>
      14) подписывает рабочий план полета после того, как командир воздушного судна подписал его;</w:t>
      </w:r>
      <w:r>
        <w:br/>
      </w:r>
      <w:r>
        <w:rPr>
          <w:rFonts w:ascii="Times New Roman"/>
          <w:b w:val="false"/>
          <w:i w:val="false"/>
          <w:color w:val="000000"/>
          <w:sz w:val="28"/>
        </w:rPr>
        <w:t>
      15) своевременно обеспечивает командира воздушного судна всей последней информацией, относящейся к маршруту полета, указанной в подпункте 8) настоящих Правил, а также метеорологической документацией, навигационным планом полета (полетов) и информацией о запретах и ограничениях на полеты;</w:t>
      </w:r>
      <w:r>
        <w:br/>
      </w:r>
      <w:r>
        <w:rPr>
          <w:rFonts w:ascii="Times New Roman"/>
          <w:b w:val="false"/>
          <w:i w:val="false"/>
          <w:color w:val="000000"/>
          <w:sz w:val="28"/>
        </w:rPr>
        <w:t>
      16) подготавливает план полета ОВД (флайт-план) для подписания его командиром воздушного судна;</w:t>
      </w:r>
      <w:r>
        <w:br/>
      </w:r>
      <w:r>
        <w:rPr>
          <w:rFonts w:ascii="Times New Roman"/>
          <w:b w:val="false"/>
          <w:i w:val="false"/>
          <w:color w:val="000000"/>
          <w:sz w:val="28"/>
        </w:rPr>
        <w:t xml:space="preserve">
      17) представляет план полета ОВД (флайт-план) диспетчеру брифинга аэродрома вылета; </w:t>
      </w:r>
      <w:r>
        <w:br/>
      </w:r>
      <w:r>
        <w:rPr>
          <w:rFonts w:ascii="Times New Roman"/>
          <w:b w:val="false"/>
          <w:i w:val="false"/>
          <w:color w:val="000000"/>
          <w:sz w:val="28"/>
        </w:rPr>
        <w:t>
      18) по каналам связи обеспечивает командира воздушного судна в полете информацией, касающейся безопасности полетов, которая может быть необходимой для безопасного выполнения полета, включая информацию, касающуюся любых изменений плана полета, необходимость которых возникает в ходе этого полета.».</w:t>
      </w:r>
      <w:r>
        <w:br/>
      </w:r>
      <w:r>
        <w:rPr>
          <w:rFonts w:ascii="Times New Roman"/>
          <w:b w:val="false"/>
          <w:i w:val="false"/>
          <w:color w:val="000000"/>
          <w:sz w:val="28"/>
        </w:rPr>
        <w:t>
</w:t>
      </w:r>
      <w:r>
        <w:rPr>
          <w:rFonts w:ascii="Times New Roman"/>
          <w:b w:val="false"/>
          <w:i w:val="false"/>
          <w:color w:val="000000"/>
          <w:sz w:val="28"/>
        </w:rPr>
        <w:t>
      2. Комитету гражданской авиации Министерства транспорта и коммуникаций Республики Казахстан (Сейдахметов Б.К.) обеспечить:</w:t>
      </w:r>
      <w:r>
        <w:br/>
      </w:r>
      <w:r>
        <w:rPr>
          <w:rFonts w:ascii="Times New Roman"/>
          <w:b w:val="false"/>
          <w:i w:val="false"/>
          <w:color w:val="000000"/>
          <w:sz w:val="28"/>
        </w:rPr>
        <w:t>
</w:t>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его государственной регистрации в Министерстве юстиции Республики Казахстан, официальное опубликование в средствах массовой информации, в том числе на интернет-ресурсе Министерства транспорта и коммуникаций Республики Казахстан и размещение его на ИПГО.</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А.Г. Бектурова.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С. Сарсенов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