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0f3f" w14:textId="cd10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учета и оценки пенсионных активов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июля 2013 года № 186. Зарегистрировано в Министерстве юстиции Республики Казахстан 10 сентября 2013 года № 8691. Утратило силу постановлением Правления Национального Банка Республики Казахстан от 26 февраля 2014 года №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26.02.2014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«О пенсионном обеспечении в Республике Казахстан»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учета и оценки пенсионных активов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«Единый накопительный пенсионный фонд»: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в инвестиционный портфель финансовые инструменты, входящие в состав пенсионных активов накопительных пенсионных фондов, по текущей стоимости, по которой данные финансовые инструменты учитывались в инвестиционных портфелях накопительных пенсионных фондах на дату их принятия единым накопительным пенсионным фондом и которая сформирована в соответствии с Правилами оценки финансовых инструментов, находящихся в инвестиционных портфелях накопительных пенсионных фондов,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26 марта 2005 года № 109 (зарегистрированным в Реестре государственной регистрации нормативных правовых актов под № 3603);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учет и оценку пенсионных активов в соответствии с Правилами со дня, следующего за днем начала передачи пенсионных активов и обязательств по договорам о пенсионном обеспечении первого накопительного пенсионного фонда в соответствии с Графиком приема–передачи пенсионных активов и обязательств накопительных пенсионных фондов по договорам о пенсионном обеспечении.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сентября 2013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июля 2013 года № 186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осуществления учета </w:t>
      </w:r>
      <w:r>
        <w:br/>
      </w:r>
      <w:r>
        <w:rPr>
          <w:rFonts w:ascii="Times New Roman"/>
          <w:b/>
          <w:i w:val="false"/>
          <w:color w:val="000000"/>
        </w:rPr>
        <w:t>
и оценки пенсионных активов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осуществления учета и оценки пенсионных активов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«О пенсионном обеспечении в Республике Казахстан» (далее - Закон) и определяют порядок учета пенсионных активов и оценки финансовых инструментов, находящихся в инвестиционном портфеле единого накопительного пенсионного фонда и (или) инвестиционных портфелях добровольных накопительных пенсионных фондов.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целей Правил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балансовая стоимость акций – стоимость акций, определяемая на основании финансовой отчетности эмитента данных акций в соответствии с правилами фондовой биржи, согласованными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номинальная стоимость долгового финансового инструмента – денежное выражение стоимости долгового финансового инструмента, определенное при его выпуске, на которую начисляется выраженное в процентах вознаграждение, а также сумма, подлежащая выплате держателю долгового финансового инструмента при его погашении;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накопительный пенсионный фонд – юридическое лицо, осуществлявшее деятельность по привлечению пенсионных взносов и осуществлению пенсионных выплат, действие лицензии которого прекращается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управляющий пенсионными активами – Национальный Банк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управляющий-резидент Республики Казахстан – в отношении пенсионных активов единого накопительного пенсионного фонда – юридическое лицо-резидент Республики Казахстан, которому Национальным Банком Республики Казахстан поручено совершать действия, необходимые для управления пенсионными активами в соответствии с договором на инвестиционное управление активами, в отношении пенсионных активов добровольного накопительного пенсионного фонда – добровольный накопительный пенсионный фонд или другая организация-резидент Республики Казахстан, обладающая лицензией уполномоченного органа на управление инвестиционным портфелем, действующая по поручению добровольного накопительного пенсионного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комитет по оценке финансовых инструментов – коллегиальный орган управляющего пенсионными активами, состав и порядок функционирования которого регламентируется внутренними документами управляющего пенсионными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текущая стоимость финансового инструмента – стоимость финансового инструмента, отраженная в бухгалтерском учете;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справедливая стоимость финансового инструмента – стоимость, определяемая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контрпартнер – юридическое лицо, обладающее правом заключать сделки с финансовыми инструментами в соответствии с законодательством Республики Казахстан или иностранного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структурные ноты – финансовые инструменты, выпущенные эмитентами-нерезидентами Республики Казахстан, условия выпуска которых предусматривают зависимость выплат сумм основного долга и (или) вознаграждения по данным финансовым инструментам от достижения показателей, заданных в условиях их выпуска;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неликвидные долговые ценные бумаги – долговые ценные бумаги, стоимость (доходность) которых не может быть рассчитана исходя из критериев определения стоимости долговых ценных бумаг, установленных методикой оценки ценных бумаг, утвержденной советом директоров фондовой биржи и согласованной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– Комитет по контролю и надзору финансового рынка и финансовых организаций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Единый накопительный пенсионный фонд и (или) добровольные накопительные пенсионные фонды осуществляют учет пенсионных активов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финансовой отчетности «Учет и раскрытие информации об операциях по пенсионным активам», утвержденным постановлением Правления Национального Банка Республики Казахстан от 26 июля 2013 года № 195 (зарегистрированным в Реестре государственной регистрации нормативных правовых актов под № 8765).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финансовых инструментов, приобретенных за счет пенсионных активов единого накопительного пенсионного фонда, обращающихся и торгуемых на международных (иностранных) рынках, учитываемых как финансовые инструменты, оцениваемые по справедливой стоимости, за исключением финансовых инструментов,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осуществляется еженедельно в конце первого рабочего дня недели на основании информации о состоянии пенсионных активов на конец последнего рабочего дня предыдущей недели, предоставляемой зарубежным (зарубежными) кастодианом (кастодианами) управляющему пенсионными активами не позднее 17:00 часов времени города Астана первого рабочего дня недели.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зарубежным (зарубежными) кастодианом (кастодианами) данной информации управляющему пенсионными активами в срок, установленный частью первой настоящего пункта, используется аналогичная информация за предыдущий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отсутствия сведений о финансовых инструментах,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 информации о состоянии пенсионных активов единого накопительного пенсионного фонда, предоставляемой зарубежным (зарубежными) кастодианом (кастодианами) управляющему пенсионными активами в порядке, установленном пунктом 4 Правил, оценка данных финансовых инструментов осуществляется еженедельно на конец первого рабочего дня недели по цене закрытия (close price) предыдущего торгового дня по данным информационно-аналитических систем Bloomberg или Reuters.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информации об оцениваемых финансовых инструментах в информационно-аналитических системах Bloomberg или Reuters для целей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долевых финансовых инструментов используется текущая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долговых финансовых инструментов используется текущая стоимость с учетом амортизации до номинальной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Оценка финансовых инструментов, приобретенных за счет пенсионных активов единого накопительного пенсионного фонда и (или) добровольных накопительных пенсионных фондов, находящихся в управлении у управляющего пенсионными активами и (или) управляющего (управляющих) - резидента (резидентов) Республики Казахстан,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пунктам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за исключением финансовых инструментов, приобретенных за счет пенсионных активов единого накопительного пенсионного фонда, обращающихся и торгуемых на международных (иностранных) рынках, оценка которых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Оценка простых и привилегированных акций организаций-резидентов Республики Казахстан, чьи акции входят в список фондовой биржи, параметры которого используются в целях расчета индекса рынка акций фондовой биржи (представительский список фондовой биржи), осуществляется еженедельно по состоянию на конец первого рабочего дня недели в соответствии с методикой оценки ценных бумаг фондовой биржи, утвержденной советом директоров фондовой биржи и согласованной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Акции организаций-резидентов Республики Казахстан, чьи акции не входят в представительский список фондовой биржи, находящиеся в инвестиционном портфеле: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добровольного накопительного пенсионного фонда, учитываются по балансовой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единого накопительного пенсионного фонда, приобретенные единым накопительным пенсионным фондом, учитываются по балансовой стоимости, переданные накопительными пенсионными фондами в единый накопительный пенсионный фонд – по приведенной стоимости на момент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Приведенная стоимость определяется посредством равномерного изменения до 1 июля 2018 года текущей стоимости акций к балансовой стоимости, указанной в финансовой отчетности, публикуемой на интернет-ресурсе фондовой биржи либо в случае отсутствия на интернет-ресурсе фондовой биржи такой информации, на основании балансовой стоимости, указанной в финансовой отчетности, публикуемой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76 Закона Республики Казахстан от 13 мая 2003 года «Об акционерных обществах».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Оценка иных финансовых инструментов, помимо акций организаций-резидентов Республики Казахстан, учитываемых как финансовые инструменты, оцениваемые по справедливой стоимости, осуществляется еженедельно по состоянию на конец первого рабочего дня недели в соответствии с методикой оценки ценных бумаг фондовой биржи, утвержденной советом директоров фондовой биржи и согласованной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Неликвидные долговые ценные бумаги организаций-резидентов Республики Казахстан учитываются по справедливой стоимости, определяемой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публикуемой на интернет-ресурсе фондовой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неликвидные долговые ценные бумаги организаций-резидентов Республики Казахстан были подвергнуты делистингу, для целей оценки используется последняя справедливая стоимость данных ценных бумаг, опубликованная фондовой биржей.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Фондовая биржа еженедельно не позднее 18:00 часов времени города Астана первого рабочего дня недели размещает на своем интернет-ресурсе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стоимости неликвидных долговых ценных бумаг организаций-резидентов Республики Казахстан, включенных в официальный список фондовой биржи, определяемой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иные сведения, определяемые внутренними документами фондовой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Оценка финансовых инструментов, приобретенных за счет пенсионных активов добровольных накопительных пенсионных фондов, учитываемых как финансовые инструменты, оцениваемые по справедливой стоимости, обращающихся и торгуемых на международных (иностранных) рынках, осуществляется еженедельно на конец первого рабочего дня недели по цене закрытия (close price) предыдущего торгового дня по данным информационно-аналитических систем Bloomberg или Reuters.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долговых ценных бумаг эмитентов-нерезидентов Республики Казахстан, приобретенных за счет пенсионных активов единого накопительного пенсионного фонда и (или) добровольных накопительных пенсионных фондов, обращающихся исключительно на территории Республики Казахстан, выпущенных в соответствии с законодательством иностранных государств, осуществляется еженедельно на конец первого рабочего дня недели по цене закрытия (close price) предыдущего торгового дня по данным информационно-аналитических систем Bloomberg или Reuters.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информации об оцениваемых финансовых инструментах в информационно-аналитических системах Bloomberg или Reuters для целей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долевых финансовых инструментов используется текущая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долговых финансовых инструментов используется текущая стоимость с учетом амортизации до номинальной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Оценка структурных нот, переданных накопительными пенсионными фондами в единый накопительный пенсионный фонд, оцениваемых по амортизированной стоимости, осуществляется по последней справедливой стоимости с учетом амортизации (линейно) до номинальной стоимости, либо в случае отсутствия последней справедливой стоимости – по покупной стоимости с учетом амортизации (линейно) до номинальной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Номинальная стоимость долгового финансового инструмента определяется на основании проспекта выпуска данного долгового финансового инструмента.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Оценка аффинированных драгоценных металлов осуществляется еженедельно по состоянию на конец первого рабочего дня недели по цене закрытия утренней сессии торгов, проводимых Лондонской Ассоциацией рынка драгоценных металлов в последний рабочий день предыдущей недели.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Оценка производных финансовых инструментов осуществляется еженедельно по состоянию на конец первого рабочего дня недели по справедливой стоимости, в порядке, предусмотренном внутренними документами единого накопительного пенсионного фонда и (или) добровольного накопительного пенсионного фонда, разработанными с учетом требований Международных стандартов финансовой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Оценка паев осуществляется еженедельно по состоянию на конец первого рабочего дня недели по последней расчетной стоимости, размещенной управляющей компанией паевого инвестиционного фонда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Справедливая стоимость неликвидных долговых ценных бумаг организаций-резидентов Республики Казахстан определяется фондовой биржей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4140200" cy="118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 – справедливая стоимость долговой ценной бумаги, в процентах к номинальной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– порядковый номер купонного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количество купонных периодов в сроке обращения облигации;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Y – ставка дисконтирования;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продолжительность расчетного года, в днях;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дней между установленной датой переоценки облигации и датой погашения облигации;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ki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дней между установленной датой переоценки облигации и датой выплаты очередного купона по 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 – отношение продолжительности расчетного года, в днях к продолжительности купонного периода, в днях;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отношение ставки купона по облигации на расчетный год, в процентах годовых, к показателю «m».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дисконтирования определяется решением совета директоров фондовой биржи один раз в квартал для каждой отдельной категории (подкатегории) сектора «Долговые ценные бумаги» официального списка фондовой биржи на основании методики расчета средневзвешенной ставки доходности долговых ценных бумаг, исходя из годовой средневзвешенной ставки доходности в соответствующей категории (подкатегории) по итогам предшествующих данному кварталу двенадцати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решение совета директоров фондовой биржи подлежит согласованию с уполномоченным органом и опубликовывается на интернет-ресурсе фондовой биржи в срок не позднее 18:00 часов времени города Астана, пятнадцатого рабочего дня первого месяца отчетного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Текущая стоимость пенсионных активов, размещенных в банковские вклады, определяется путем ежедневного начисления суммы вознаграждения, указанной в договоре банковского вклада.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Проведение тестов на обесценение (уменьшение стоимости) пенсионных активов единого накопительного пенсионного фонда и (или) добровольного накопительного пенсионного фонда, находящихся в инвестиционном управлении у управляющего пенсионными активами или управляющего-резидента Республики Казахстан, за исключением финансовых инструментов,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и формирование резервов (провизий) против возможных потерь (отрицательная корректировка стоимости), связанных (связанная) с обесценением (уценкой) пенсионных активов при потере стоимости вследствие неисполнения или ненадлежащего исполнения эмитентом обязательств по финансовым инструментам, осуществляется на ежемесячной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Тестам на обесценение подлежат пенсионные активы единого накопительного пенсионного фонда и (или) добровольного накопительного пенсионного фонда, отнесенные к категории «оцениваемые по амортизированной стоимости» и на счета дебиторской задолженности, а также размещенные в банковские вклады. По пенсионным активам, отнесенным к категории «оцениваемые по справедливой стоимости», осуществляется уменьшение стоимости в случаях объявления дефолта либо делистинга и (или) банкротства эмитента, и (или) наличия отрицательного собственного капитала эмитента на основании последнего опубликованного квартального (годового) бухгалтерского баланса, и (или) факта неисполнения эмитентом обязательств по иным финансовым инструментам, за исключением финансовых инструментов, обращающихся и торгуемых на международных (иностранных)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Обесценение и уменьшение стоимости финансовых инструментов осуществляется согласно методике, разработанной единым накопительным пенсионным фондом и (или) добровольным накопительным пенсионным фондом (далее – Методика) с учетом требований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Тестом на обесценение финансовых инструментов определяются следующие критерии признания обесценения: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финансовое состояние эмитента;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просрочка погашения любого из платежей по выпущенным финансовым инструментам;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рейтинга;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иная объективная информация, свидетельствующая об обесценении финансовых инструментов.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тесте на обесценение акций применяются критерии, указанные в подпунктах 1), 4) и 5)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каждому критерию присваивается балл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Сумма баллов используется при определении классификационной категории финансовых инструментов. Исходя из количества набранных баллов по активу устанавливаются его классификационная категория и размер необходимых резервов (провизий)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Финансовое состояние эмитента оценивается в соответствии с Методикой, разрабатываемой единым накопительным пенсионным фондом и (или) добровольным накопительным пенсионным фондом, с учетом требований Правил, и включает порядок, метод, способы оценки финансового состояния, перечень необходимых документов и иной приемлемой информации, позволяющих определить финансовое состояние эмитента. Методика утверждается органом управления единого накопительного пенсионного фонда и (или) добровольных накопительных пенсионных фондов.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Методика содержит следующие основные показатели, характеризующие финансовое состояние эмитента: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платежеспособность, которая раскрывает способность эмитента обслуживать свои обязательства, рассчитываемая исходя из соответствующего набора коэффициентов, установленных Методикой;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финансовая устойчивость, которая раскрывает структуру капитала, уровень доходности (в динамике за последний календарный год), рентабельность (в динамике за последний календарный год), рассчитываемую исходя из соответствующего набора коэффициентов, установленных Методикой;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меры, предпринимаемые эмитентом для улучшения своего финансового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Финансовое состояние классифицируется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стабильное – финансовое состояние эмитента устойчивое: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эмитент платежеспособен;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значения коэффициентов рассчитаны в соответствии с Методикой;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положительные рыночные условия развития бизнеса, а также хорошая конкурентная позиция на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свободный доступ к ресурсам и рынку капитала, не выявлены внешние или внутренние факторы, способные значительно ухудшить финансовое состояние эмитента в течение срока выпуска финансовых инструментов;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 эмитента рассчитываться по своему обязательству не вызывает сомнений;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срокам активы и обязательства эмитента соизмеримы;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удовлетворительное – финансовое состояние эмитента этой категории близко к характеристикам «стабильного», но вероятность поддержки ее на этом уровне, на протяжении длительного времени является низкой;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нестабильное – существует определенная вероятность, что эмитент не рассчитается по своим обязательствам, ввиду следующих факторов: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имеются признаки постоянного и существенного ухудшения финансового состояния эмитента (нет уверенности в том, что принимаемые эмитентом меры эффективны для стабилизации финансового состояния);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имеются форс-мажорные обстоятельства, а также иные обстоятельства, нанесшие эмитенту материальный ущерб, но не повлекшие прекращение его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критическое – постоянное ухудшение финансового состояния эмитента достигло критического уровня: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неплатежеспособность, возможность банкротства или иного рода реорганизации эмитента;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условий договора (неуплата или нарушение сроков платежа процентов или основной суммы долга);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держателем бумаги уступок эмитенту, которые в противном случае не были бы предоставлены;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имеются форс-мажорные обстоятельства, нанесшие эмитенту материальный ущерб и (или) не позволяющие ему продолжать свою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Снижение кредитного рейтинга эмитента не является подтверждением обесценения. Все события необходимо рассматривать в совокупности с другими доступными данными.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Формирование резервов (провизии) против возможных потерь от обесценения финансовых инструментов или осуществление уменьшения стоимости финансовых инструментов производится в минимальном размере, определяемом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не ранее, чем за семь рабочих дней до последнего рабочего дня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по размеру формирования провизий на покрытие возможных потерь от обесценения пенсионных активов единого накопительного пенсионного фонда, принимается комитетом по оценке финансовых инструментов управляющего пенсионными активами.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Резерв (корректировка стоимости), рассчитанный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отражается в бухгалтерском учете по пенсионным активам единого накопительного пенсионного фонда и (или) добровольных накопительных пенсионных фондов в порядке, установленном постановлениями Правления Национального Банка Республики Казахстан от 1 февраля 2010 года 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Инструкции по ведению бухгалтерского учета организациями, осуществляющими управление инвестиционным портфелем или инвестиционное управление пенсионными активами, и организациями, осуществляющими брокерскую деятельность на рынке ценных бумаг» (зарегистрированным в Реестре государственной регистрации нормативных правовых актов под № 6090), от 1 июля 2011 года 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Инструкции по ведению бухгалтерского учета операций с пенсионными активами, осуществляемых накопительными пенсионными фондами» (зарегистрированным в Реестре государственной регистрации нормативных правовых актов под № 7118).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Размер резервов (провизии) против возможных потерь от обесценения финансовых инструментов или размер уменьшения стоимости финансовых инструментов рассчитываются от текущей стоимости финансовых инструментов с учетом восстановления ранее сформированных резервов (провизий) на покрытие возможных потерь от обесценения финансовых инструментов или уменьшения стоимости данных финансовых инструментов.</w:t>
      </w:r>
    </w:p>
    <w:bookmarkEnd w:id="4"/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осуществления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оценки пенсионных активов  </w:t>
      </w:r>
    </w:p>
    <w:bookmarkEnd w:id="5"/>
    <w:bookmarkStart w:name="z5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Критерии признания обесценения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уменьшения стоимости финансовых инструментов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1237"/>
        <w:gridCol w:w="1474"/>
      </w:tblGrid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Финансовое состояние: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Просрочка погашения любого из платежей по выпущенным/предоставленным финансовым инструментам: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просрочки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Просрочка до 7 календарных дней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Просрочка от 8 до 15 календарных дней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Просрочка от 16 до 30 календарных дней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календарных дней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 календарного года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</w:t>
            </w:r>
          </w:p>
        </w:tc>
      </w:tr>
      <w:tr>
        <w:trPr>
          <w:trHeight w:val="6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гарантии: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Республики Казахстан (при гарантии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основного долга и вознаграждения)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гарантии менее 100 % основного долга и вознаграждения)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рассчитывается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пропорционально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размеру гарантии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«- 4»)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Иностранного государства с рейтингом не ниже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«А-» по международной шкале агентства Standard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&amp; Poor's или рейтинговой оценкой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одного из других рейтинговых агентств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второго уровня Республики Казахстан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Иностранного эмитента с рейтингом не ниже «А-»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международной шкале агентства Standard &amp;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Poor's или рейтинговой оценкой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одного из других рейтинговых агентств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гарантии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рейтинга: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«А» по международной шкале агентства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Standard &amp; Poor's или рейтинговой оценкой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аналогичного уровня одного из других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«А-» до «ВВВ-» по международной шкале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Standard &amp; Poor's или рейтинговой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оценкой аналогичного уровня одного из других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«ВВВ-» до «В-» по международной шкале агентства Standard &amp; Poor's или рейтинговой оценкой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аналогичного уровня одного из других рейтинговых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Ниже «В-» по международной шкале агентства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Standard &amp; Poor's или рейтинговой оценкой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аналогичного уровня одного из других рейтинговых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рейтинга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бумаги, включенные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подкатегорию «долговые ценные бумаги без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рейтинговой оценки первой подкатегории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(наивысшая категория)»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бумаги, включенные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подкатегорию «долговые ценные бумаги без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рейтинговой оценки второй подкатегории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(следующая за наивысшей категорией)»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бумаги, включенные в официальный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список фондовой биржи, выпущенные организациями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законодательством Республики Казахстан и других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государств, имеющие оценки рейтинговых агентств,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признанных фондовой биржей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Акции эмитентов, включенные в первую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(наивысшую) категорию сектора «акции»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официального списка фондовой биржи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депозитарные расписки по ним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9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Акции эмитентов, включенные во вторую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(наивысшую) категорию сектора «акции»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официального списка фондовой биржи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депозитарные расписки по ним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бумаги, включенные в «буферную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категорию» официального списка фондовой биржи,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исключением долговых ценных бумаг,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включенных в «буферную категорию» официального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списка фондовой биржи в случае дефолта эмитента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выплате вознаграждения по своим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Дефолт, делистинг или снижение рейтинга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Приостановление размещения ценных бумаг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(решение уполномоченного органа 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 размещения)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информации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</w:tbl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осуществления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оценки пенсионных активов  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Размер резервов (провизии) на покрытие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возможных потерь от обесценения или размер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уменьшения стоимости финансовых инструментов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5053"/>
        <w:gridCol w:w="5573"/>
      </w:tblGrid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финансовых инструментов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Необходимый размер резервов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(провизии)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Сомнительный 1 категории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Сомнительный 2 категории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Сомнительный 3 категории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 (35 %)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Неудовлетворительный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(70 %)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12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Безнадежный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</w:tr>
    </w:tbl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Пояснения к таблице: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использовании данных критериев для обесценения финансовых инструментов или уменьшения стоимости финансовых инструментов при наличии рейтинговой оценки и категории листинга в расчет принимается рейтинговая оценка.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суммы баллов до 1 (включительно) финансовый инструмент классифицируется как стандартный.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сумме баллов равной от 2 до 4 (включительно) финансовый инструмент классифицируется как сомнительный 1 категории, формируется 10 (десять) процентов провизий.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сумме баллов равной от 5 до 7 (включительно) финансовый инструмент классифицируется как сомнительный 2 категории, формируется 15 (пятнадцать) процентов провизий.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сумме баллов равной от 8 до 10 (включительно) финансовый инструмент классифицируется как сомнительный 3 категории, формируется: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(двадцать пять) процентов провизий по долговым ценным бумагам и банковским вкладам;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 (тридцать пять) процентов провизий по акциям.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сумме баллов равной от 11 до 12 (включительно) финансовый инструмент классифицируется как неудовлетворительный, формируется: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(пятьдесят) процентов провизий по долговым ценным бумагам и банковским вкладам;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 (семьдесят) процентов провизий по акциям.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сумме баллов свыше 12 финансовый инструмент классифицируется как безнадежный и по нему формируются провизии в размере не менее 90 (девяносто) процентов. Если долговая ценная бумага эмитента и (или) банковский вклад классифицируются как безнадежные, то акция данного эмитента единовременно списывается до нуля.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банкротстве эмитента финансового инструмента данный финансовый инструмент единовременно списывается до нуля.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