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26d0" w14:textId="9672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деятельности видов организаций дополнительного образования для взрослых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сентября 2013 года № 370. Зарегистрирован в Министерстве юстиции Республики Казахстан 18 октября 2013 года № 8829. Утратил силу приказом и.о. Министра образования и науки Республики Казахстан от 29 декабря 2021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видов организаций дополнительного образования для взрослых.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декабря 2000 года № 1211 "Об утверждении Правил о порядке организации деятельности учебных заведений повышения квалификации и переподготовки работников организаций образования Республики Казахстан" (зарегистрированный в Реестре государственной регистрации нормативных правовых актов от 27 января 2001 года № 1376).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технического и профессионального образования (Борибеков К.К.)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 и разместить на интернет-ресурсе Министерства образования и науки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Департаментам технического и профессионального (Борибеков К.К.), высшего и послевузовского (Жакыпова Ф.Н.), дошкольного и среднего образования (Жонтаева Ж.А.) довести настоящий приказ до сведения организаций образования.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образования и науки Абенова М.А.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2013 года № 370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видов</w:t>
      </w:r>
      <w:r>
        <w:br/>
      </w:r>
      <w:r>
        <w:rPr>
          <w:rFonts w:ascii="Times New Roman"/>
          <w:b/>
          <w:i w:val="false"/>
          <w:color w:val="000000"/>
        </w:rPr>
        <w:t>организаций дополнительного образования для взрослых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Типовые правила деятельности видов организаций дополнительного образования для взрослых (далее -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определяют порядок их деятельности.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видам организаций дополнительного образования для взрослых (далее - Организации):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институты дополнительного образования, реализующие образовательные программы дополнительного образования, а также их филиалы (далее - Институты) независимо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 центры (региональные, межрегиональные, отраслевые) дополнительного образования, реализующие образовательные программы дополнительного образования (далее - Центры) независимо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структурные подразделения юридических лиц, реализующие образовательные программы дополнительного образования независимо от форм собственности (далее – Структурные подразделения юридических лиц);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методические кабинеты (центры), создаваемые Управлениями образования областей, городов Астана и Алматы, городскими (районными) отделами и организациями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Организации образования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законами Республики Казахстан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18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иными нормативными правовыми актами Республики Казахстан, регламентирующими образовательную деятельность, а также настоящими Типовыми правилами и разработанным на их основе уставом организации образования.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освоившим образовательные программы дополнительного образования, выдается свидетельство/сертификат о присвоении квалификации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Типовых правилах используются следующие понятия:</w:t>
      </w:r>
    </w:p>
    <w:bookmarkEnd w:id="11"/>
    <w:bookmarkStart w:name="z7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переподготовка – форма профессионального обучения, позволяющая освоить другую профессию или специальность;</w:t>
      </w:r>
    </w:p>
    <w:bookmarkEnd w:id="12"/>
    <w:bookmarkStart w:name="z7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квалификации – форма профессионального обучения, позволяющая поддерживать, расширять, углублять и совершенствовать ранее приобретенные профессиональные знания, умения и навыки;</w:t>
      </w:r>
    </w:p>
    <w:bookmarkEnd w:id="13"/>
    <w:bookmarkStart w:name="z7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стажировка – индивидуальная или групповая форма развития профессиональных компетенций специалистов проводится в соответствии с индивидуальным планом, утвержденным руководителем организации дополнительного образования;</w:t>
      </w:r>
    </w:p>
    <w:bookmarkEnd w:id="14"/>
    <w:bookmarkStart w:name="z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академический час - объем учебного времени, отведенный на проведение урока, учебного занятия (по решению организации составляет 40-45 минут);</w:t>
      </w:r>
    </w:p>
    <w:bookmarkEnd w:id="15"/>
    <w:bookmarkStart w:name="z8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методист – педагог отдела или организации образования, выполняющий учебно-методическую, научно-методическую работу;</w:t>
      </w:r>
    </w:p>
    <w:bookmarkEnd w:id="16"/>
    <w:bookmarkStart w:name="z8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методический (учебно-методический, научно-методический) совет – форма коллегиального управления учебно-методической работой организации образования;</w:t>
      </w:r>
    </w:p>
    <w:bookmarkEnd w:id="17"/>
    <w:bookmarkStart w:name="z8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методический кабинет -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педагогов и их профессиональной самореализации;</w:t>
      </w:r>
    </w:p>
    <w:bookmarkEnd w:id="18"/>
    <w:bookmarkStart w:name="z8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учебно-методическая работа – деятельность по обеспечению учебно-воспитательного процесса психолого-педагогическими, дидактико-методическими материалами, разработки и внедрения новых технологий обучения, обеспечению повышения квалификации педагогов в организациях образования.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приказами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Организаций являются: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реализации образовательных программ переподготовки, повышения квалификации, стажировки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повышение профессиональных навыков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современных методов обучения в учебно-воспитательный процесс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научных исследований и опытно-методических работ по вопросам обеспечения качества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изучение, обобщение, внедрение и обмен лучшим отечественным и зарубежным опытом учебно-методической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систем обучения в течение всей жизни, обеспечивающих взаимосвязь между теоретическим обучением, обучением на производстве и потребностями рынка труда, и способствующих каждому максимально использовать свой личный потенциал;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методическое обеспечение организаций профориентационной работы с обучающимися;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условии для организации качественного профессионального обучения, направленного на развитие личности для приобретения новых или измененных профессиональных навыков, необходимых для выполнения определенного вида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профессиональное обучение рабочих, служащих специалистов позволяющее освоить другую профессию или специальность;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повышение квалификации граждан для поддержания, расширения, углубления и совершенствования ранее приобретенных профессиональных знаний, умений и навыков.</w:t>
      </w:r>
    </w:p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функциями Организации являются: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качественных образовательных услуг по программам дополнительного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приоритетных направлений обучения слушателей на основе изучения потребностей рынка образовательных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международного сотрудничества, обмена опытом для совершенствования учебно-методической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научных исследований, опытно-методических работ по новым перспективным направлениям дополнительного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консультационных и информационных услуг предприятиям, организациям, частным лицам в сфере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совершенствование и развитие видов и форм повышения квалификации, стажировки и переподготовки кадров, методик и технологий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улучшение качества профессорско-преподавательского состава, повышение их профессионального и общекультурного уровня.</w:t>
      </w:r>
    </w:p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Организации осуществляют международное сотрудничество в области научной, методической работы, переподготовки, повышения квалификации, стажировки кадров.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устанавливают прямые связи с зарубежными организациями образования, заключают двусторонние и многосторонние договора о сотрудничестве.</w:t>
      </w:r>
    </w:p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Дополнительное образование может осуществляться как за счет бюджетных средств, так и на платной основе. Стоимость обучения на платной основе определяется Организацией.</w:t>
      </w:r>
    </w:p>
    <w:bookmarkEnd w:id="23"/>
    <w:bookmarkStart w:name="z1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видов</w:t>
      </w:r>
      <w:r>
        <w:br/>
      </w:r>
      <w:r>
        <w:rPr>
          <w:rFonts w:ascii="Times New Roman"/>
          <w:b/>
          <w:i w:val="false"/>
          <w:color w:val="000000"/>
        </w:rPr>
        <w:t>организаций дополнительного образования для взрослых</w:t>
      </w:r>
      <w:r>
        <w:br/>
      </w:r>
      <w:r>
        <w:rPr>
          <w:rFonts w:ascii="Times New Roman"/>
          <w:b/>
          <w:i w:val="false"/>
          <w:color w:val="000000"/>
        </w:rPr>
        <w:t>Параграф 1. Институты дополнительного образования,</w:t>
      </w:r>
      <w:r>
        <w:br/>
      </w:r>
      <w:r>
        <w:rPr>
          <w:rFonts w:ascii="Times New Roman"/>
          <w:b/>
          <w:i w:val="false"/>
          <w:color w:val="000000"/>
        </w:rPr>
        <w:t>реализующие образовательные программы дополнительного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параграфа 1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Институты разделяются на государственные, негосударственные (частными, зарегистрированными на территории Республики Казахстан) и международные.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функциями Институтов являются: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повышения квалификации и переподготовки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и совершенствование методик образовательного процесса и образовательных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учебных планов и программ, календарных графиков учебного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контингента слушателей.</w:t>
      </w:r>
    </w:p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Учебный процесс Институтов осуществляется в соответствии с учебными планами и программами. Учебные планы и программы, календарные графики учебного процесса утверждаются руководителями Институтов.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Уровень компетентности слушателей по тематике повышения квалификации определяется входным и выходным диагностированием; на 36 часовых курсах – написанием самостоятельной работы; на курсах, превышающих 36 часов – выполнением проектной работы, сдачей зачета, экзамена или в иной форме контроля знаний, определяемой Институтом.</w:t>
      </w:r>
    </w:p>
    <w:bookmarkEnd w:id="28"/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уровня знаний при защите аттестационных работ, рефератов, сдаче экзаменов, зачетов, проведении собеседований комиссией, состав который утверждается руководителем Института.</w:t>
      </w:r>
    </w:p>
    <w:bookmarkEnd w:id="29"/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Институты проводят обучение по следующим формам: повышение квалификации, стажировка, переподготовка.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проводится: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отрывом от основной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комбинированное (очно-дистанционное) повышение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дистанционно, с периодичностью и продолжительностью.</w:t>
      </w:r>
    </w:p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Формирование контингента слушателей осуществляется на основе государственных заказов и договоров с физическими и юридическими лицами.</w:t>
      </w:r>
    </w:p>
    <w:bookmarkEnd w:id="31"/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Зачисление на обучение производится приказом руководителя Института.</w:t>
      </w:r>
    </w:p>
    <w:bookmarkEnd w:id="32"/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Слушатели Институтов: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формировании содержания учебных программ дополнительного образования по повышению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пользуются имеющейся в Институтах нормативной, инструктивной, учебной и учебно-методической документацией по вопросам профессиональной деятельности, а также библиотекой, информационным фондом, услугами других подразделений в порядке, определенном Уставом организации дополнительного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участие в конференциях и семинарах, представлять в издания организаций свои публикации, научные труды и другие материалы.</w:t>
      </w:r>
    </w:p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Структура института, количество профессорско-преподавательского состава, методистов и другого персонала, определяются в соответствии со штатным расписанием по согласованию с учредителем и утверждаются руководителем организации.</w:t>
      </w:r>
    </w:p>
    <w:bookmarkEnd w:id="34"/>
    <w:bookmarkStart w:name="z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Учебная нагрузка профессорско-преподавательского состава, тренеров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образовании".</w:t>
      </w:r>
    </w:p>
    <w:bookmarkEnd w:id="35"/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Институтов осуществляется за счет: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средств, получаемых за обучение слушателей по договорам с физическими и юридическими лицами.</w:t>
      </w:r>
    </w:p>
    <w:bookmarkStart w:name="z3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 Методический центры (кабинет)</w:t>
      </w:r>
    </w:p>
    <w:bookmarkEnd w:id="37"/>
    <w:bookmarkStart w:name="z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Целью деятельности Методического центра (кабинета) является осуществление учебно-методической поддержки организаций образования в реализации государственных общеобязательных стандартов образования и образовательных программ начального, основного среднего, общего среднего, технического и профессионального, послесреднего, дополнительного образования, создание условий для непрерывного образования, совершенствования профессиональной компетентности педагогов и руководящих кадров.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Методические центры (кабинеты) делятся на районные, областные, республиканские.</w:t>
      </w:r>
    </w:p>
    <w:bookmarkEnd w:id="39"/>
    <w:bookmarkStart w:name="z3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Руководство учебно-методической и научно-методической работой возлагается:</w:t>
      </w:r>
    </w:p>
    <w:bookmarkEnd w:id="40"/>
    <w:bookmarkStart w:name="z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среднего образования - на областные, городов республиканского значения и столицы методические кабинеты и методические кабинеты районных (городских) отделов образования;</w:t>
      </w:r>
    </w:p>
    <w:bookmarkEnd w:id="41"/>
    <w:bookmarkStart w:name="z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образования, реализующих программы технического и профессионального, послесреднего образования - на методические кабинеты областных, городов республиканского значения и столицы органов управления образованием.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24. Координация учебно-методической и научно-методической деятельности в организациях образования и соответствующей инфраструктуре, в том числе организациях учебно-методического и научно-методического обеспечения,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учебно-методической работы, утвержденными приказом Министра образования и науки Республики Казахстан от 29 ноября 2007 года № 583 (Зарегистрирован в Реестре государственной регистрации нормативных правовых актов № 5036).</w:t>
      </w:r>
    </w:p>
    <w:bookmarkEnd w:id="43"/>
    <w:bookmarkStart w:name="z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Основными направлениями деятельности Учебно-методической работы Методических центров (кабинетов) являются: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учебно-методической работы по повышению профессиональной компетентности работников образования (консультации, анализ уроков, проведение лекций, мастер - классов, семинаров, научно-практических конференций, педагогических чтений, школ педагогического мастерства, конкурсов профессионального мастерства), направленных на совершенствование учебно-воспитательного процесса и оказания помощи педагогу, организации образования и методическим объединениям;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разработки методических пособий, рекомендации по совершенствованию содержания учебно-методической работы по обеспечению качества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изучение, анализ и оценка педагогической деятельности, мониторинг образовательных достижений воспитанников и учащихся, обеспечение сбора и систематизации опыта работы, создание банка данных об эффективных формах работы и их результатах;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поддержки в инновационной деятельности организациям образования и отдельным педагогам, организация и проведение опытно-экспериментальной и исследовательской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своевременное ознакомление педагогов с основными тенденциями государственной образовательной политики, изучение и творческое освоение инновационных форм и методов преподавания, внеклассной, внешкольной предметной и воспитательной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педагогов необходимой информацией об учебниках и учебно-методической литературе по проблемам обучения, воспитания и развития детей и взрослых, проведение информационно-библиографической работы, создание видео, медиатеки;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взаимодействия и сотрудничества с учеными, организациями образования, государственными и неправительственными структурами, участвующими в образовании и воспитании обучающихся, на городском, районном, областном, республиканском и международном уровнях;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экспертиза учебно-методических материалов с привлечением ведущих специалистов, координация деятельности учебно-методических и экспертных советов, временных научно-исследовательских и творческих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прогнозирование, планирование и организация повышения квалификации педагогических и руководящих работников совместно с организациями повышения квалификации, оказание педагогам организационно-методической помощи в системе непрерывного образования.</w:t>
      </w:r>
    </w:p>
    <w:bookmarkStart w:name="z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Структура и штаты Методических центров (кабинетов) формируются, исходя из целей и задач, специфики организации образования, численности педагогов и определяется по согласованию с учредителем и утверждаются руководителем организации.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Управление Методическими центрами (кабинетами) осуществляется в соответствии с законодательными, нормативными и правовыми актами Республики Казахстан, настоящими Типовыми правилами и Уставами.</w:t>
      </w:r>
    </w:p>
    <w:bookmarkEnd w:id="46"/>
    <w:bookmarkStart w:name="z4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Наряду со штатными работниками Методических центров (кабинетов), методическую, консультационную и другие виды работ могут обеспечивать ученые, специалисты, представители органов управления образованием и организаций образования на условиях совместительства или почасовой оплаты труда в порядке, установленном Трудовым законодательством.</w:t>
      </w:r>
    </w:p>
    <w:bookmarkEnd w:id="47"/>
    <w:bookmarkStart w:name="z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Работники Методических центров (кабинетов):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взаимодействуют со всеми структурными подразделениями для получения материалов и необходимой информации при решении вопросов, относящихся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вносят на рассмотрение руководителя подразделения, заведующего методическим кабинетом, предложения по совершенствованию учебно-методической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планировании деятельности методического кабинета;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одобрения экспертным советам публиковать и тиражировать разработанные учебно-методические, контрольно-диагностические и дидактические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получать консультативную помощь в научном сопровождении исследовательской и экспериментальной работы.</w:t>
      </w:r>
    </w:p>
    <w:bookmarkStart w:name="z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Работники Методических центров (кабинетов):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качество оказываемых методических услуг в рамках утвержденных руководителем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работают над совершенствованием собственной профессиональной компетентности, повышать квалификацию посредством курсовой подготовки и в рамках самообразования.</w:t>
      </w:r>
    </w:p>
    <w:bookmarkStart w:name="z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Финансирование Методических центров (кабинетов) осуществляется за счет: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средств, получаемых за выполняемую работу по договорам с физическими и юридическими лицами.</w:t>
      </w:r>
    </w:p>
    <w:bookmarkStart w:name="z4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Учебные центры (региональные, межрегиональные,</w:t>
      </w:r>
      <w:r>
        <w:br/>
      </w:r>
      <w:r>
        <w:rPr>
          <w:rFonts w:ascii="Times New Roman"/>
          <w:b/>
          <w:i w:val="false"/>
          <w:color w:val="000000"/>
        </w:rPr>
        <w:t>отраслевые) дополнительного образования</w:t>
      </w:r>
    </w:p>
    <w:bookmarkEnd w:id="51"/>
    <w:bookmarkStart w:name="z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Центры самостоятельны в организации учебно-воспитательного процесса, подборе и расстановке кадров, учебно-методической, финансово – хозяйственной деятельности.</w:t>
      </w:r>
    </w:p>
    <w:bookmarkEnd w:id="52"/>
    <w:bookmarkStart w:name="z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Основой организации учебного процесса являются планирование и учет учебной, учебно-методической работы, осуществляемой Центром.</w:t>
      </w:r>
    </w:p>
    <w:bookmarkEnd w:id="53"/>
    <w:bookmarkStart w:name="z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Планирование учебной работы в Центрах осуществляется путем утверждения графика учебного процесса и расписания теоретических, практических занятий.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учебного процесса и расписание учебных занятий утверждается руководителем Центра.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учебной работы в Центрах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bookmarkStart w:name="z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Рабочие учебные планы и рабочие учебные программы разрабатываются Центрами с участием работодателей и утверждаются руководителем Центра по согласованию с работодателями.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Формы, содержание и объем профессиональной подготовки, переподготовки кадров определяются по согласованию работодателем.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содержания образовательных программ с учетом потребностей и возможностей личности, создания условий доступности профессионального обучения в Центрах обучение осуществляется в следующих формах: очное, вечернее.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с изменением, внесенным приказом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Текущий контроль успеваемости, промежуточная и итоговая аттестация обучающихся осуществляется в соответствии с Типовыми правилами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№ 5191).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приказа Министра образования и науки РК 27.05.2019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Центрах учебные занятия проводятся в виде уроков, лекций, семинаров, практических занятий, лабораторных, контрольных и самостоятельных работ, консультаций, бесед, факультативных занятий, курсовых проектов, работ и других форм учебных занятий.</w:t>
      </w:r>
    </w:p>
    <w:bookmarkEnd w:id="57"/>
    <w:bookmarkStart w:name="z5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Для организации и проведения учебных занятий с обучающимися в Центрах создаются учебные группы в соответствии с Типовыми правилами деятельности организаций образования соответствующих типов,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приказа Министра образования и науки РК 27.05.2019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 обучающимся Центров относятся студенты, курсанты, слушатели.</w:t>
      </w:r>
    </w:p>
    <w:bookmarkEnd w:id="59"/>
    <w:bookmarkStart w:name="z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 педагогам Центров относятся лица, занимающиеся образовательной деятельностью, связанной с обучением и воспитанием обучающихся.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Производственное обучение обучающихся осуществляется в учебно-производственных мастерских, лабораториях, на полигонах, в учебных хозяйствах Центра, на ученических местах, предоставляемых работодателями на основе договоров.</w:t>
      </w:r>
    </w:p>
    <w:bookmarkEnd w:id="61"/>
    <w:bookmarkStart w:name="z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Учебно-производственные мастерские, учебные хозяйства, учебные полигоны Центров создаются в целях обеспечения реализации содержания учебных программ производственного обучения и профессиональной практики в зависимости от профиля подготовки кадров по специальностям.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производственные мастерские являются учебной и производственной базой, обеспечивающей: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сочетание теоретического обучения с производственным трудом;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обучающимися профессиональных навыков в соответствии с учебными планами и программами;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выпуска продукции, изготовление инструментов и приспособлений для мастерских, наглядных пособий и приборов для кабинетов и лабораторий, а также ремонта оборудования, машин и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платных услуг предприятиям, организациям и населению в рамках выполнений требовании учебных планов и программ.</w:t>
      </w:r>
    </w:p>
    <w:bookmarkStart w:name="z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Перечень, содержание и требования по выполнению учебно-производственных работ в учебных мастерских, учебных хозяйствах определяются непосредственно Центром по согласованию с работодателями, для которых осуществляется подготовка кадров.</w:t>
      </w:r>
    </w:p>
    <w:bookmarkEnd w:id="63"/>
    <w:bookmarkStart w:name="z5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Структурные подразделения</w:t>
      </w:r>
      <w:r>
        <w:br/>
      </w:r>
      <w:r>
        <w:rPr>
          <w:rFonts w:ascii="Times New Roman"/>
          <w:b/>
          <w:i w:val="false"/>
          <w:color w:val="000000"/>
        </w:rPr>
        <w:t>юридических лиц, реализующие образовательные</w:t>
      </w:r>
      <w:r>
        <w:br/>
      </w:r>
      <w:r>
        <w:rPr>
          <w:rFonts w:ascii="Times New Roman"/>
          <w:b/>
          <w:i w:val="false"/>
          <w:color w:val="000000"/>
        </w:rPr>
        <w:t>программы дополнительного образования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параграфа 4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44. К Структурным подразделениям юридических лиц относятся центры повышения квалификации для организации стажировки, повышения квалификации, переподготовки научных, педагогических, инженерно-технических и медицинских работников и работников других отраслей экономики по образовательным программам дополнительного образования.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юридических лиц создаются при высших учебных заведениях, научно-исследовательских организациях, предприятиях и иных организациях (далее - Подразделения).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с изменением, внесенным приказом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45. Основными функциями Подразделений являются: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повышения квалификации и переподготовки кадров.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и совершенствование методик образовательного процесса и образовательных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утверждение учебных планов и программ, календарных графиков учебного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контингента слушателей;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иной деятельности, не запрещенной законодательством Республики Казахстан и предусмотренной уставом организации.</w:t>
      </w:r>
    </w:p>
    <w:bookmarkStart w:name="z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Учебный процесс Подразделений осуществляется в соответствии с учебными планами и программами. Учебные планы и программы, календарные графики учебного процесса утверждаются Подразделениями.</w:t>
      </w:r>
    </w:p>
    <w:bookmarkEnd w:id="67"/>
    <w:bookmarkStart w:name="z6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Оценка уровня знаний слушателей по образовательным программам проводится комиссией, состав которой утверждается руководителем Подразделения.</w:t>
      </w:r>
    </w:p>
    <w:bookmarkEnd w:id="68"/>
    <w:bookmarkStart w:name="z6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Повышение квалификации и переподготовка кадров осуществляется на основе договоров, заключаемых с предприятиями (объединениями), организациями, учреждениями и органами занятости, а также с другими физическими и юридическими лицами.</w:t>
      </w:r>
    </w:p>
    <w:bookmarkEnd w:id="69"/>
    <w:bookmarkStart w:name="z6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Прием в Подразделения осуществляется на основании заявления слушателя или направления предприятия, учреждения, а также других юридических лиц.</w:t>
      </w:r>
    </w:p>
    <w:bookmarkEnd w:id="70"/>
    <w:bookmarkStart w:name="z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Периодичность прохождения специалистами курсов повышения квалификации устанавливается заказчиком,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образовании".</w:t>
      </w:r>
    </w:p>
    <w:bookmarkEnd w:id="71"/>
    <w:bookmarkStart w:name="z6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Слушатели Подразделений: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участвуют в определении содержания образовательных программ, курсов повышения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пользуются имеющимися нормативными и инструктивными документами, учебными и учебно-методическими материалами, для освоения дополнительных образовательных программ, а также библиотечным и информационным фондом, услугами других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принимают участие в конференциях и научных семинарах, публиковать в изданиях организаций свои рефераты, труды и другие материалы.</w:t>
      </w:r>
    </w:p>
    <w:bookmarkStart w:name="z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Штаты преподавательского состава, методистов и другого персонала, структура утверждаются руководителем Организации.</w:t>
      </w:r>
    </w:p>
    <w:bookmarkEnd w:id="73"/>
    <w:bookmarkStart w:name="z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Деятельность Подразделения осуществляется в соответствии с настоящими Типовыми правилами и Уставом организации.</w:t>
      </w:r>
    </w:p>
    <w:bookmarkEnd w:id="74"/>
    <w:bookmarkStart w:name="z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Непосредственное руководство Подразделением осуществляет руководитель, назначаемый руководителем Организации.</w:t>
      </w:r>
    </w:p>
    <w:bookmarkEnd w:id="75"/>
    <w:bookmarkStart w:name="z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Руководитель Подразделения действует от имени Организации и защищает ее интересы.</w:t>
      </w:r>
    </w:p>
    <w:bookmarkEnd w:id="76"/>
    <w:bookmarkStart w:name="z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Финансирование Подразделения осуществляется за счет: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средств, получаемых за обучение слушателей, организацию стажировки по договорам физическими и юридическими лицами.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взрослых</w:t>
            </w:r>
          </w:p>
        </w:tc>
      </w:tr>
    </w:tbl>
    <w:bookmarkStart w:name="z7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bookmarkEnd w:id="78"/>
    <w:bookmarkStart w:name="z7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СВИДЕТЕЛЬСТВО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выдано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том, что он (-а) обучался (лась) с "___" ___ года по "___" 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_____ году окончил (-а) _________ полный курс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профессии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 окончании полного курса переподготовки показал (-а)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модуля      Оценки/балл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дополнительного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"___" 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Решением квалификационной комиссии от "___" 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ему (ей) присвоена квалификация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выдан Сертификат № __________________ от _______/________/________/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органа по сертификации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_________/___________/_________/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№ _______</w:t>
      </w:r>
    </w:p>
    <w:bookmarkStart w:name="z7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Ересектерге арналған қосымша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ұйымдарының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түрлері қызметінің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қағидаларына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2 - қосымша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взрослых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Мекен-жайы:... көшесі,...,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тел...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Адрес:, ул....,...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тел....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сертификат,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(тегі, аты, әкесінің 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 тақырыбында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сағат көлемінде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арттыру/қайта даярлау курстарынан өткенін растайды.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подтверждает, что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(фамилия, имя, отчество)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 прошел(ла) курсы повышения квалификации/ переподготовки на тему: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в объеме ____ часов.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 ____________/_____________/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__________ жылғы "___"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 нөмірі № _______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____________/_____________/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"___" __________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№ _______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