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257c" w14:textId="b462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подушевого нормативного финансирования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30 октября 2013 года № 440. Зарегистрирован в Министерстве юстиции Республики Казахстан 7 ноября 2013 года № 8885. Утратил силу приказом Министра образования и науки Республики Казахстан от 27 ноября 2017 года № 597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27.11.2017 </w:t>
      </w:r>
      <w:r>
        <w:rPr>
          <w:rFonts w:ascii="Times New Roman"/>
          <w:b w:val="false"/>
          <w:i w:val="false"/>
          <w:color w:val="ff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46-1)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эффективного использования бюджетных средств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среднего образования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и инвестиционных проектов (Нургожаевой Т.А.)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Галимову А.К.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 и распространяется на отношения, возникшие с 1 сентября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2013 года № 440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подушевого нормативного финансирования среднего образования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приказа и.о Министра образования и науки РК от 25.08.2016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подушевого нормативного финансирования среднего образования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(далее – Закон) с целью определения единого подхода при расчете нормативов финансирования обеспечения государственных гарантий прав граждан на получение обязательного бесплатного среднего образования. 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финансирования организации среднего образования включает в себя финансирование расходов на образовательный процесс и расходов на образовательную среду, определяемых, исходя из подушевого норматива финансирования.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Подушевой норматив финансирования образовательного процесса различается в зависимости от: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уровня образования: начальное образование, основное среднее образование, общее среднее образование;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вида реализуемых образовательных программ: общеобразовательные, специальные образовательные учебные программы;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места реализации образовательной программы: город, сельская местность.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Показатели, используемые для расчета подушевого норматива финансирования среднего образования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расчете подушевого норматива финансирования образовательного процесса используются: 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базовый должностной оклад (далее – БДО), утверждаемый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2004 года № 74 "Об утверждении размеров базового должностного оклада и поправочного коэффициента";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(далее – МРП), установленный законом Республики Казахстан о республиканском бюджете на соответствующий год;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Закона, нормативная учебная нагрузка в неделю для педагогических работников, непосредственно осуществляющих учебно-воспитательный процесс в государственных организациях образования: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часов – для работы в классах общего среднего образования;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количество часов в неделю в соответствии с Типовыми учебными планами,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(зарегистрированный в Реестре государственной регистрации нормативных правовых актов за № 69469 опубликованный в газете "Казахстанская правда" от 23 февраля 2013 года № 69-70 (27343-27344), по уровням образования: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29,75 часа – среднее число часов в 1 – 4 классах;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45,1 часа – среднее число часов в 5 – 9 классах;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56,25 часа – среднее число часов в 10 – 11 классах;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расчетная наполняемость классов в соответствии с Государственными общеобязательными стандартами образования соответствующих уровней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2012 года № 1080,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образования", утвержденными приказом Министра национальной экономики Республики Казахстан от 29 декабря 2014 года № 179 (зарегистрированный в Реестре государственной регистрации нормативных правовых актов за № 88305, опубликованный в газете "Казахстанская правда" от 24 сентября 2015 года № 183 (28059):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городских общеобразовательных школах – 24 учащихся;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общеобразовательных школах– 20 учащихся;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специальных (коррекционных) классах – 12 учащихся.</w:t>
      </w:r>
    </w:p>
    <w:bookmarkEnd w:id="27"/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Алгоритм расчета объема финансирования образовательного процесса и базового подушевого норматива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 объема финансирования образовательного процесса и базового подушевого норматива производится по следующим формулам.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V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финансирования образовательного процесса организации среднего образования рассчитывается по формуле: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3937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(N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* Конт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в одной организации среднего образования более одного вида образовательной программы объем финансирования образовательного процесса определяется суммарно, исходя из подушевого норматива на одного обучающегося по видам образовательных программ, уровням образования.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среднегодовой контингент учащихся, который рассчитывается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по составлению сведений о сети, штатах, контингентах, утвержденной приказом Министра финансов Республики Казахстан от 20 февраля 2015 года № 108 (зарегистрированный в Министерстве юстиции Республики Казахстан № 10498);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N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расходов образовательного процесса по уровням образования в расчете на одного обучающегося в год рассчитывается по формуле: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= N</w:t>
      </w:r>
      <w:r>
        <w:rPr>
          <w:rFonts w:ascii="Times New Roman"/>
          <w:b w:val="false"/>
          <w:i w:val="false"/>
          <w:color w:val="000000"/>
          <w:vertAlign w:val="subscript"/>
        </w:rPr>
        <w:t>zb</w:t>
      </w:r>
      <w:r>
        <w:rPr>
          <w:rFonts w:ascii="Times New Roman"/>
          <w:b w:val="false"/>
          <w:i w:val="false"/>
          <w:color w:val="000000"/>
          <w:sz w:val="28"/>
        </w:rPr>
        <w:t>* K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базовый подушевой норматив расходов образовательного процесса,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– индекс, отражающий уровень образования (начальное, основное среднее, общее среднее образование),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поправочный коэффициент, рассчитанный с учетом повышения должностных окладов специалистам, работающим в сельской местности, а также с учетом наполняемости классов сельских школ и специальных (коррекционных) классов: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1-4 классов – за проживание в сельской местности – 1,444, за работу в специальных (коррекционных) классах в городской местности – 2,237, за работу в специальных (коррекционных) классах в сельской местности – 2,392,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5-9 классов – за проживание в сельской местности – 1,449, за работу в специальных (коррекционных) классах в городской местности – 1,762, за работу в специальных (коррекционных) классах в сельской местности – 2,404,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10-11 классов – за проживание в сельской местности – 1,450, за работу в специальных (коррекционных) классах в городской местности – 1,523, за работу в специальных (коррекционных) классах в сельской местности – 2,409.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рассчитывается по формуле: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</w:t>
      </w:r>
      <w:r>
        <w:rPr>
          <w:rFonts w:ascii="Times New Roman"/>
          <w:b w:val="false"/>
          <w:i w:val="false"/>
          <w:color w:val="000000"/>
          <w:sz w:val="28"/>
        </w:rPr>
        <w:t>= Tp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+ X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годовой фонд оплаты труда управленческого и основного персонала, задействованного в образовательном процессе, в расчете на 1 обучающегося в год;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– расходы, связанные с образовательным процессом, которые составляют 1,2 МРП в год в расчете на 1 учащегося и включают: 0,3 МРП – расходы, связанные с подготовкой и участием учащихся в научных, спортивных и интеллектуальных конкурсах и мероприятиях, 0,9 МРП – учебные расходы.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рассчитывается по формуле в зависимости от уровня образования(z)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= Тр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+ Тр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комп.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</w:t>
      </w:r>
      <w:r>
        <w:rPr>
          <w:rFonts w:ascii="Times New Roman"/>
          <w:b w:val="false"/>
          <w:i w:val="false"/>
          <w:color w:val="000000"/>
          <w:vertAlign w:val="subscript"/>
        </w:rPr>
        <w:t>zосн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 * sno * mv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комп.</w:t>
      </w:r>
      <w:r>
        <w:rPr>
          <w:rFonts w:ascii="Times New Roman"/>
          <w:b w:val="false"/>
          <w:i w:val="false"/>
          <w:color w:val="000000"/>
          <w:sz w:val="28"/>
        </w:rPr>
        <w:t xml:space="preserve"> = (ДО + БДО * f) * mv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</w:t>
      </w:r>
      <w:r>
        <w:rPr>
          <w:rFonts w:ascii="Times New Roman"/>
          <w:b w:val="false"/>
          <w:i w:val="false"/>
          <w:color w:val="000000"/>
          <w:vertAlign w:val="subscript"/>
        </w:rPr>
        <w:t>zосн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управленческого и основного персонала, задействованного в образовательном процессе, без учета компенсационных выплат;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комп.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пособий на оздоровление к ежегодному оплачиваемому трудовому отпуску работников;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фонд оплаты труда педагогических работников в месяц,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 для перехода от расчета нормативных затрат в месяц к расчету нормативных затрат в год;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W – фонд оплаты труда педагогических работников в месяц, рассчитывается по формуле: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W= ДО +БДО * (f+ Доу + u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+ h)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– должностной оклад одной педагогической ставки в месяц, который определяется путем умножения БДО на коэффициент 4,3;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коэффициент удорожания фонда оплаты труда за счет управленческого персонала – 0,903;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Доу – коэффициент надбавки за особые условия труда – 0,520;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доплат и надбавок – 0,224;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коэффициент доплат за квалификационный уровень педагогических работников, который является переменным и корректируется ежегодно – 0,301;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 – коэффициент социального налога и социальных отчислений – 1,099;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 – коэффициент ученико-часа (соотношение количества учебных часов на одного учащегося с учетом нормативной учебной нагрузки)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mv рассчитывается по формуле: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 = t / n / d,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количество часов в неделю по ТУП;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нормативная учебная нагрузка в неделю;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расчетная наполняемость класса.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финансирования образовательного процесса организации среднего образования предназначен для следующих видов расходов: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на оплату труда управленческого и основного персонала, участвующего в образовательном процессе (кроме расходов на оплату гимназического компонента, на оплату работникам за проживание в зонах экологического бедствия и радиационного риска);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взносы работодателя по налогам и другим обязательным платежам;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выплату пособий на оздоровление к ежегодному оплачиваемому трудовому отпуску работников;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расходы, связанные с организацией и осуществлением образовательного процесса;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расходы, связанные с подготовкой и участием учащихся в научных, спортивных и интеллектуальных конкурсах и мероприятиях; 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оплата банковских (финансовых) услуг, связанных с произведением расходов, предусмотренных настоящим пунктом Методики.</w:t>
      </w:r>
    </w:p>
    <w:bookmarkEnd w:id="78"/>
    <w:bookmarkStart w:name="z9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Расчет норматива и объема финансирования образовательной среды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финансирования образовательной среды определяется по формуле: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ОС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пр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общ</w:t>
      </w:r>
      <w:r>
        <w:rPr>
          <w:rFonts w:ascii="Times New Roman"/>
          <w:b w:val="false"/>
          <w:i w:val="false"/>
          <w:color w:val="000000"/>
          <w:sz w:val="28"/>
        </w:rPr>
        <w:t>, где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ОС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финансирования расходов образовательной среды,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пр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расходов образовательной среды в год на 1 учащегося, который составляет 20,75 МРП в год на 1 учащегося,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общ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общий среднегодовой контингент учащихся 1 – 11 классов организации среднего образования.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финансирования образовательной среды организации среднего образования предназначен для следующих видов расходов: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на оплату труда управленческого, основного, административного, вспомогательного и рабочего персонала, не участвующего в образовательном процессе (кроме расходов на оплату работникам за проживание в зонах экологического бедствия и радиационного риска);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взносы работодателя по налогам и другим обязательным платежам;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выплату пособий на оздоровление к ежегодному оплачиваемому трудовому отпуску работников;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на оплату услуг почтовой и телефонной связи;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проведение текущего ремонта, содержание и обслуживание зданий, сооружений, технологического оборудования, компьютерной и оргтехники;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товаров, в стоимостном выражении не превышающих 40-кратный месячный расчетный показатель, необходимых для обеспечения деятельности организации образования, не применяемых в образовательном процессе;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расходы на оплату банковских (финансовых) услуг, связанных с произведением расходов, предусмотренных настоящим пунктом Методики.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