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ca0e" w14:textId="d6dc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Министра финансов Республики Казахстан от 12 октября 2013 года № 481. Зарегистрирован в Министерстве юстиции Республики Казахстан 11 ноября 2013 года № 8896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25 августа 2010 года за № 6443, опубликованный в газете «Казахстанская правда» от 15 сентября 2010 года № 242 (26303))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учетной политикой.»;</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«мемориальный ордер 3 - накопительная ведомость по учету денежных средств на контрольных счетах наличности (далее - КСН) платных услуг, КСН спонсорской, благотворительной помощи, КСН временного размещения денежных средств, на счете в иностранной валюте и специальных счетах бюджетного инвестиционного проекта по внешним займам и грантам, КСН местного самоуправления, КСН целевого финансирования форма 381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пункта 25 изложить в следующей редакции:</w:t>
      </w:r>
      <w:r>
        <w:br/>
      </w:r>
      <w:r>
        <w:rPr>
          <w:rFonts w:ascii="Times New Roman"/>
          <w:b w:val="false"/>
          <w:i w:val="false"/>
          <w:color w:val="000000"/>
          <w:sz w:val="28"/>
        </w:rPr>
        <w:t>
      «2)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42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Выявленные суммы недостач денежных средств в кассе государственного учреждения, отнесенные за счет виновных лиц, отражаются по дебету счета 1262 «Краткосрочная дебиторская задолженность по другим видам расчетов с работниками» и кредиту счета 1010 «Денежные средства в кассе».»;</w:t>
      </w:r>
      <w:r>
        <w:br/>
      </w:r>
      <w:r>
        <w:rPr>
          <w:rFonts w:ascii="Times New Roman"/>
          <w:b w:val="false"/>
          <w:i w:val="false"/>
          <w:color w:val="000000"/>
          <w:sz w:val="28"/>
        </w:rPr>
        <w:t>
</w:t>
      </w:r>
      <w:r>
        <w:rPr>
          <w:rFonts w:ascii="Times New Roman"/>
          <w:b w:val="false"/>
          <w:i w:val="false"/>
          <w:color w:val="000000"/>
          <w:sz w:val="28"/>
        </w:rPr>
        <w:t>
      дополнить пунктами 55-1 и 55-2 следующего содержания:</w:t>
      </w:r>
      <w:r>
        <w:br/>
      </w:r>
      <w:r>
        <w:rPr>
          <w:rFonts w:ascii="Times New Roman"/>
          <w:b w:val="false"/>
          <w:i w:val="false"/>
          <w:color w:val="000000"/>
          <w:sz w:val="28"/>
        </w:rPr>
        <w:t>
      «55-1. На субсчете 1044 «КСН местного самоуправления»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Поступление денежных средств на КСН местного самоуправления отражается по дебету субсчета 1044 «КСН местного самоуправления» и кредиту счета 6080 «Прочие доходы от необменных операций».</w:t>
      </w:r>
      <w:r>
        <w:br/>
      </w:r>
      <w:r>
        <w:rPr>
          <w:rFonts w:ascii="Times New Roman"/>
          <w:b w:val="false"/>
          <w:i w:val="false"/>
          <w:color w:val="000000"/>
          <w:sz w:val="28"/>
        </w:rPr>
        <w:t>
      55-2. На субсчете 1045 «КСН целевого финансирования» учитываются зачисленные бюджетные средства и их использование на проведение особых расходов (счет целевого финансирования).»;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 При покупке иностранной валюты дебетуется счет 1280 «Прочая краткосрочная дебиторская задолженность»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1040 «КСН для учета поступлений и расчетов» и 1030 «Расчетный счет». Поступление иностранной валюты на счет отражается записью: дебет счетов 1050 «Счет в иностранной валюте», 1030 «Расчетный счет» и кредит счетов 1280 «Прочая краткосрочная дебиторская задолженность» на сумму полученной иностранной валюты и 7140 «Прочие операционные расходы» на сумму комиссионного сбора.»;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«62. На субсчете 1072 «Денежные документы» учитываются банковский овердрафт и прочие денежные документы. </w:t>
      </w:r>
      <w:r>
        <w:br/>
      </w:r>
      <w:r>
        <w:rPr>
          <w:rFonts w:ascii="Times New Roman"/>
          <w:b w:val="false"/>
          <w:i w:val="false"/>
          <w:color w:val="000000"/>
          <w:sz w:val="28"/>
        </w:rPr>
        <w:t>
      63. На субсчете 1073 «Денежные средства в пути» учитываются денежные средства, которые числятся в пути.</w:t>
      </w:r>
      <w:r>
        <w:br/>
      </w:r>
      <w:r>
        <w:rPr>
          <w:rFonts w:ascii="Times New Roman"/>
          <w:b w:val="false"/>
          <w:i w:val="false"/>
          <w:color w:val="000000"/>
          <w:sz w:val="28"/>
        </w:rPr>
        <w:t xml:space="preserve">
      На данном счете также учитывается движение денежных средств, переведенных на финансирование расходов загранучреждений, но не поступивших на расчетный счет заграничных учреждений, а также перечисленных, но не поступивших денежных средств. </w:t>
      </w:r>
      <w:r>
        <w:br/>
      </w:r>
      <w:r>
        <w:rPr>
          <w:rFonts w:ascii="Times New Roman"/>
          <w:b w:val="false"/>
          <w:i w:val="false"/>
          <w:color w:val="000000"/>
          <w:sz w:val="28"/>
        </w:rPr>
        <w:t>
      При поступлении на расчетный счет загранучреждения суммы, которая числилась в пути производится запись: дебет субсчета 1030 «Расчетный счет», кредит субсчета 1073 «Денежные средства в пути».»;</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«Учет кассовых операций в государственных учреждениях ведется в кассовой книге форма КО-4 или форма 440 Альбома форм, если в государственном учреждении имеются денежные операции по бюджетному счету, по КСН платных услуг, по КСН спонсорской, благотворительной помощи, по КСН временного размещения денег, по КСН местного самоуправления, по КСН целевого финансирования.»;</w:t>
      </w:r>
      <w:r>
        <w:br/>
      </w:r>
      <w:r>
        <w:rPr>
          <w:rFonts w:ascii="Times New Roman"/>
          <w:b w:val="false"/>
          <w:i w:val="false"/>
          <w:color w:val="000000"/>
          <w:sz w:val="28"/>
        </w:rPr>
        <w:t>
</w:t>
      </w:r>
      <w:r>
        <w:rPr>
          <w:rFonts w:ascii="Times New Roman"/>
          <w:b w:val="false"/>
          <w:i w:val="false"/>
          <w:color w:val="000000"/>
          <w:sz w:val="28"/>
        </w:rPr>
        <w:t>
      дополнить пунктом 78-1 следующего содержания:</w:t>
      </w:r>
      <w:r>
        <w:br/>
      </w:r>
      <w:r>
        <w:rPr>
          <w:rFonts w:ascii="Times New Roman"/>
          <w:b w:val="false"/>
          <w:i w:val="false"/>
          <w:color w:val="000000"/>
          <w:sz w:val="28"/>
        </w:rPr>
        <w:t>
      «78-1. Учет операций по движению денежных средств по субсчету 1044 «КСН местного самоуправления»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Для аналитического учета по субсчету 1044 «КСН местного самоуправления» используется форма 434-м/с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«82. Аналитический учет по субсчету 1071 «Аккредитивы» ведется по каждому открытому аккредитиву на карточках формы 292-а Альбома форм (в книге формы 292 Альбома форм).</w:t>
      </w:r>
      <w:r>
        <w:br/>
      </w:r>
      <w:r>
        <w:rPr>
          <w:rFonts w:ascii="Times New Roman"/>
          <w:b w:val="false"/>
          <w:i w:val="false"/>
          <w:color w:val="000000"/>
          <w:sz w:val="28"/>
        </w:rPr>
        <w:t>
      Аналитический учет денежных документов по каждому виду ведется на карточках формы 292-а Альбома форм (в книге формы 292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«88. При перечислении денежных средств, выделенных администратору бюджетных программ на основании решения Правительства Республики Казахстан, местных исполнительных органов на образование или пополнение уставного капитала субъектов квазигосударственного сектора, администратор бюджетных программ производит запись по дебету счета 2120 «Долгосрочные финансовые инвестиции» и кредиту соответствующего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
      дополнить пунктом 88-1 следующего содержания:</w:t>
      </w:r>
      <w:r>
        <w:br/>
      </w: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r>
        <w:br/>
      </w: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r>
        <w:br/>
      </w: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r>
        <w:br/>
      </w:r>
      <w:r>
        <w:rPr>
          <w:rFonts w:ascii="Times New Roman"/>
          <w:b w:val="false"/>
          <w:i w:val="false"/>
          <w:color w:val="000000"/>
          <w:sz w:val="28"/>
        </w:rPr>
        <w:t xml:space="preserve">
      на сумму накопленной амортизации: </w:t>
      </w:r>
      <w:r>
        <w:br/>
      </w: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r>
        <w:br/>
      </w:r>
      <w:r>
        <w:rPr>
          <w:rFonts w:ascii="Times New Roman"/>
          <w:b w:val="false"/>
          <w:i w:val="false"/>
          <w:color w:val="000000"/>
          <w:sz w:val="28"/>
        </w:rPr>
        <w:t xml:space="preserve">
      одновременно: на списание суммы финансирования капитальных вложений по выбывшим основным средствам: </w:t>
      </w:r>
      <w:r>
        <w:br/>
      </w:r>
      <w:r>
        <w:rPr>
          <w:rFonts w:ascii="Times New Roman"/>
          <w:b w:val="false"/>
          <w:i w:val="false"/>
          <w:color w:val="000000"/>
          <w:sz w:val="28"/>
        </w:rPr>
        <w:t xml:space="preserve">
      дебет субсчета 5011 «Финансирование капитальных вложений» и кредит счета 6020 «Доходы от финансирования капитальных вложений». </w:t>
      </w:r>
      <w:r>
        <w:br/>
      </w: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законодательством Республики Казахстан об оценочной деятельности, производятся записи.</w:t>
      </w:r>
      <w:r>
        <w:br/>
      </w:r>
      <w:r>
        <w:rPr>
          <w:rFonts w:ascii="Times New Roman"/>
          <w:b w:val="false"/>
          <w:i w:val="false"/>
          <w:color w:val="000000"/>
          <w:sz w:val="28"/>
        </w:rPr>
        <w:t xml:space="preserve">
      Переоценка (дооценка) основных средств: </w:t>
      </w:r>
      <w:r>
        <w:br/>
      </w:r>
      <w:r>
        <w:rPr>
          <w:rFonts w:ascii="Times New Roman"/>
          <w:b w:val="false"/>
          <w:i w:val="false"/>
          <w:color w:val="000000"/>
          <w:sz w:val="28"/>
        </w:rPr>
        <w:t>
      дебет счета 2300 «Основные средства» и кредит субсчета 5111 «Резерв на переоценку основных средств»;</w:t>
      </w:r>
      <w:r>
        <w:br/>
      </w:r>
      <w:r>
        <w:rPr>
          <w:rFonts w:ascii="Times New Roman"/>
          <w:b w:val="false"/>
          <w:i w:val="false"/>
          <w:color w:val="000000"/>
          <w:sz w:val="28"/>
        </w:rPr>
        <w:t xml:space="preserve">
      на сумму корректировки накопленной амортизации: </w:t>
      </w:r>
      <w:r>
        <w:br/>
      </w: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r>
        <w:br/>
      </w:r>
      <w:r>
        <w:rPr>
          <w:rFonts w:ascii="Times New Roman"/>
          <w:b w:val="false"/>
          <w:i w:val="false"/>
          <w:color w:val="000000"/>
          <w:sz w:val="28"/>
        </w:rPr>
        <w:t xml:space="preserve">
      Передача основных средств: </w:t>
      </w:r>
      <w:r>
        <w:br/>
      </w: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r>
        <w:br/>
      </w:r>
      <w:r>
        <w:rPr>
          <w:rFonts w:ascii="Times New Roman"/>
          <w:b w:val="false"/>
          <w:i w:val="false"/>
          <w:color w:val="000000"/>
          <w:sz w:val="28"/>
        </w:rPr>
        <w:t xml:space="preserve">
      на сумму накопленной амортизации: </w:t>
      </w:r>
      <w:r>
        <w:br/>
      </w: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r>
        <w:br/>
      </w:r>
      <w:r>
        <w:rPr>
          <w:rFonts w:ascii="Times New Roman"/>
          <w:b w:val="false"/>
          <w:i w:val="false"/>
          <w:color w:val="000000"/>
          <w:sz w:val="28"/>
        </w:rPr>
        <w:t xml:space="preserve">
      одновременно: на списание суммы финансирования капитальных вложений по выбывшим основным средствам: </w:t>
      </w:r>
      <w:r>
        <w:br/>
      </w:r>
      <w:r>
        <w:rPr>
          <w:rFonts w:ascii="Times New Roman"/>
          <w:b w:val="false"/>
          <w:i w:val="false"/>
          <w:color w:val="000000"/>
          <w:sz w:val="28"/>
        </w:rPr>
        <w:t xml:space="preserve">
      дебет субсчета 5011 «Финансирование капитальных вложений» и кредит счета 6020 «Доходы от финансирования капитальных вложений»; </w:t>
      </w:r>
      <w:r>
        <w:br/>
      </w:r>
      <w:r>
        <w:rPr>
          <w:rFonts w:ascii="Times New Roman"/>
          <w:b w:val="false"/>
          <w:i w:val="false"/>
          <w:color w:val="000000"/>
          <w:sz w:val="28"/>
        </w:rPr>
        <w:t>
      списание резерва по переоценке основных средств:</w:t>
      </w:r>
      <w:r>
        <w:br/>
      </w: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«119. На субсчетах счета 1210 «Краткосрочная дебиторская задолженность по бюджетным выплатам» отражаются расчеты по выплатам трансфертов и субсидий юридическим лицам, в том числе крестьянским (фермерским) хозяйствам и трансфертов физическим лицам, а также расчеты по выплате пенсий и пособий. </w:t>
      </w:r>
      <w:r>
        <w:br/>
      </w:r>
      <w:r>
        <w:rPr>
          <w:rFonts w:ascii="Times New Roman"/>
          <w:b w:val="false"/>
          <w:i w:val="false"/>
          <w:color w:val="000000"/>
          <w:sz w:val="28"/>
        </w:rPr>
        <w:t>
      Вышеуказанные трансферты физическим лицам осуществляются государственными учреждениями в порядке, установленном бюджетным законодательством Республики Казахстан.</w:t>
      </w:r>
      <w:r>
        <w:br/>
      </w:r>
      <w:r>
        <w:rPr>
          <w:rFonts w:ascii="Times New Roman"/>
          <w:b w:val="false"/>
          <w:i w:val="false"/>
          <w:color w:val="000000"/>
          <w:sz w:val="28"/>
        </w:rPr>
        <w:t>
      На субсчете 3111 «Краткосрочная кредиторская задолженность по трансфертам физическим лицам» отражаются расчеты с физическими лицами:</w:t>
      </w:r>
      <w:r>
        <w:br/>
      </w:r>
      <w:r>
        <w:rPr>
          <w:rFonts w:ascii="Times New Roman"/>
          <w:b w:val="false"/>
          <w:i w:val="false"/>
          <w:color w:val="000000"/>
          <w:sz w:val="28"/>
        </w:rPr>
        <w:t xml:space="preserve">
      по социальным выплатам и социальной помощи; </w:t>
      </w:r>
      <w:r>
        <w:br/>
      </w:r>
      <w:r>
        <w:rPr>
          <w:rFonts w:ascii="Times New Roman"/>
          <w:b w:val="false"/>
          <w:i w:val="false"/>
          <w:color w:val="000000"/>
          <w:sz w:val="28"/>
        </w:rPr>
        <w:t xml:space="preserve">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трудовым законодательством Республики Казахстан; </w:t>
      </w:r>
      <w:r>
        <w:br/>
      </w:r>
      <w:r>
        <w:rPr>
          <w:rFonts w:ascii="Times New Roman"/>
          <w:b w:val="false"/>
          <w:i w:val="false"/>
          <w:color w:val="000000"/>
          <w:sz w:val="28"/>
        </w:rPr>
        <w:t xml:space="preserve">
      по единовременным выплатам родителям, усыновителям, опекунам погибших, умерших военнослужащих; </w:t>
      </w:r>
      <w:r>
        <w:br/>
      </w:r>
      <w:r>
        <w:rPr>
          <w:rFonts w:ascii="Times New Roman"/>
          <w:b w:val="false"/>
          <w:i w:val="false"/>
          <w:color w:val="000000"/>
          <w:sz w:val="28"/>
        </w:rPr>
        <w:t>
      по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r>
        <w:br/>
      </w:r>
      <w:r>
        <w:rPr>
          <w:rFonts w:ascii="Times New Roman"/>
          <w:b w:val="false"/>
          <w:i w:val="false"/>
          <w:color w:val="000000"/>
          <w:sz w:val="28"/>
        </w:rPr>
        <w:t xml:space="preserve">
      денежная компенсация военнослужащим на оплату расходов по содержанию жилища и коммунальных услуг, </w:t>
      </w:r>
      <w:r>
        <w:br/>
      </w:r>
      <w:r>
        <w:rPr>
          <w:rFonts w:ascii="Times New Roman"/>
          <w:b w:val="false"/>
          <w:i w:val="false"/>
          <w:color w:val="000000"/>
          <w:sz w:val="28"/>
        </w:rPr>
        <w:t xml:space="preserve">
      по другим трансфертам физическим лицам. </w:t>
      </w:r>
      <w:r>
        <w:br/>
      </w:r>
      <w:r>
        <w:rPr>
          <w:rFonts w:ascii="Times New Roman"/>
          <w:b w:val="false"/>
          <w:i w:val="false"/>
          <w:color w:val="000000"/>
          <w:sz w:val="28"/>
        </w:rPr>
        <w:t>
      В соответствии с перечнем должностей лиц, имеющих право на получение денежной компенсации на оплату расходов по содержанию жилища и коммунальных услуг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соответствующий год, государственные учреждения производят начисление суммы компенсации. На суммы начисленной компенсации по расчетно-платежной ведомости производится запись: дебет счета 7140 «Прочие операционные расходы» и кредит субсчета 3111 «Краткосрочная кредиторская задолженность по трансфертам физическим лицам», при выплате компенсации – дебет субсчета 3111 «Краткосрочная кредиторская задолженность по трансфертам физическим лицам» и кредит субсчета 1081 «Плановые назначения на принятие обязательств по индивидуальному плану финансирования».</w:t>
      </w:r>
      <w:r>
        <w:br/>
      </w:r>
      <w:r>
        <w:rPr>
          <w:rFonts w:ascii="Times New Roman"/>
          <w:b w:val="false"/>
          <w:i w:val="false"/>
          <w:color w:val="000000"/>
          <w:sz w:val="28"/>
        </w:rPr>
        <w:t>
      Администратор бюджетной программы поступление финансирования по трансфертам физическим лицам на социальные выплаты и социальную помощь отражает: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6030 «Доходы по трансфертам»;</w:t>
      </w:r>
      <w:r>
        <w:br/>
      </w:r>
      <w:r>
        <w:rPr>
          <w:rFonts w:ascii="Times New Roman"/>
          <w:b w:val="false"/>
          <w:i w:val="false"/>
          <w:color w:val="000000"/>
          <w:sz w:val="28"/>
        </w:rPr>
        <w:t>
      начисление трансфертов физическим лицам на социальные выплаты и социальную помощь: дебет субсчета 7210 «Расходы по трансфертам» и кредит субсчета 3111 «Краткосрочная кредиторская задолженность по трансфертам физическим лицам».</w:t>
      </w:r>
      <w:r>
        <w:br/>
      </w:r>
      <w:r>
        <w:rPr>
          <w:rFonts w:ascii="Times New Roman"/>
          <w:b w:val="false"/>
          <w:i w:val="false"/>
          <w:color w:val="000000"/>
          <w:sz w:val="28"/>
        </w:rPr>
        <w:t>
      Перечисление трансфертов физическим лицам на социальные выплаты и социальную помощь: дебет субсчета 3111 «Краткосрочная кредиторская задолженность по трансфертам физическим лицам» и кредит субсчетов 1084 «Плановые назначения на принятие обязательств по трансфертам», 1093 «Плановые назначения на принятие обязательств по трансфертам».»;</w:t>
      </w:r>
      <w:r>
        <w:br/>
      </w:r>
      <w:r>
        <w:rPr>
          <w:rFonts w:ascii="Times New Roman"/>
          <w:b w:val="false"/>
          <w:i w:val="false"/>
          <w:color w:val="000000"/>
          <w:sz w:val="28"/>
        </w:rPr>
        <w:t>
</w:t>
      </w:r>
      <w:r>
        <w:rPr>
          <w:rFonts w:ascii="Times New Roman"/>
          <w:b w:val="false"/>
          <w:i w:val="false"/>
          <w:color w:val="000000"/>
          <w:sz w:val="28"/>
        </w:rPr>
        <w:t>
      дополнить пунктом 121-1 следующего содержания:</w:t>
      </w:r>
      <w:r>
        <w:br/>
      </w:r>
      <w:r>
        <w:rPr>
          <w:rFonts w:ascii="Times New Roman"/>
          <w:b w:val="false"/>
          <w:i w:val="false"/>
          <w:color w:val="000000"/>
          <w:sz w:val="28"/>
        </w:rPr>
        <w:t>
      «121-1. При возврате в бюджет неиспользованных сумм трансфертов прошлых лет администратор бюджетных программ вышестоящего бюджета производит запись: дебет счета 7120 «Расходы по расчетам с бюджетом» и кредит субсчета 3133 «Краткосрочная кредиторская задолженность перед бюджетом по прочим операциям», и одновременно: дебет счета 3133 «Краткосрочная кредиторская задолженность перед бюджетом по прочим операциям» и кредит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«Средства, перечисленные юридическому лицу, осуществляющему деятельность по привлечению пенсионных взносов и пенсионным выплатам, учитываются по дебету субсчета 1216 «Краткосрочная дебиторская задолженность по выплате пенсий и пособий» и кредиту субсчета 1081 «Плановые назначения на принятие обязательств по индивидуальному плану финансирования». Произведенные расходы по выплате пенсий и государственных социальных пособий учитываются по дебету счета 7220 «Расходы по выплатам пенсий и пособий» и кредиту субсчета 1216 «Краткосрочная дебиторская задолженность по выплате пенсий и пособий».»;</w:t>
      </w:r>
      <w:r>
        <w:br/>
      </w:r>
      <w:r>
        <w:rPr>
          <w:rFonts w:ascii="Times New Roman"/>
          <w:b w:val="false"/>
          <w:i w:val="false"/>
          <w:color w:val="000000"/>
          <w:sz w:val="28"/>
        </w:rPr>
        <w:t>
</w:t>
      </w:r>
      <w:r>
        <w:rPr>
          <w:rFonts w:ascii="Times New Roman"/>
          <w:b w:val="false"/>
          <w:i w:val="false"/>
          <w:color w:val="000000"/>
          <w:sz w:val="28"/>
        </w:rPr>
        <w:t>
      дополнить пунктом 124-1 следующего содержания:</w:t>
      </w:r>
      <w:r>
        <w:br/>
      </w:r>
      <w:r>
        <w:rPr>
          <w:rFonts w:ascii="Times New Roman"/>
          <w:b w:val="false"/>
          <w:i w:val="false"/>
          <w:color w:val="000000"/>
          <w:sz w:val="28"/>
        </w:rPr>
        <w:t>
      «124-1. Администратор бюджетных программ осуществление операций по безвозмездному финансированию государственных предприятий для приобретения долгосрочных активов и затрат капитального характера отражает следующими корреспонденциями счетов:</w:t>
      </w:r>
      <w:r>
        <w:br/>
      </w:r>
      <w:r>
        <w:rPr>
          <w:rFonts w:ascii="Times New Roman"/>
          <w:b w:val="false"/>
          <w:i w:val="false"/>
          <w:color w:val="000000"/>
          <w:sz w:val="28"/>
        </w:rPr>
        <w:t>
      при перечислении денежных средств: дебет счета 1280 «Прочая краткосрочная дебиторская задолженность»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r>
        <w:br/>
      </w:r>
      <w:r>
        <w:rPr>
          <w:rFonts w:ascii="Times New Roman"/>
          <w:b w:val="false"/>
          <w:i w:val="false"/>
          <w:color w:val="000000"/>
          <w:sz w:val="28"/>
        </w:rPr>
        <w:t>
      при получении от государственных предприятий соответствующих подтверждающих документов по целевому использованию денежных средств: дебет счета 7140 «Прочие операционные расходы» и кредит счета 1280 «Прочая краткосрочная дебиторская задолженность».»;</w:t>
      </w:r>
      <w:r>
        <w:br/>
      </w:r>
      <w:r>
        <w:rPr>
          <w:rFonts w:ascii="Times New Roman"/>
          <w:b w:val="false"/>
          <w:i w:val="false"/>
          <w:color w:val="000000"/>
          <w:sz w:val="28"/>
        </w:rPr>
        <w:t>
</w:t>
      </w:r>
      <w:r>
        <w:rPr>
          <w:rFonts w:ascii="Times New Roman"/>
          <w:b w:val="false"/>
          <w:i w:val="false"/>
          <w:color w:val="000000"/>
          <w:sz w:val="28"/>
        </w:rPr>
        <w:t>
      дополнить пунктом 157-1 следующего содержания:</w:t>
      </w:r>
      <w:r>
        <w:br/>
      </w:r>
      <w:r>
        <w:rPr>
          <w:rFonts w:ascii="Times New Roman"/>
          <w:b w:val="false"/>
          <w:i w:val="false"/>
          <w:color w:val="000000"/>
          <w:sz w:val="28"/>
        </w:rPr>
        <w:t>
      «157-1. Начисление жилищных выплат, предусмотренных законодательством Республики Казахстан о жилищных отношениях, отражается по дебету счета 7140 «Прочие операционные расходы» и кредиту субсчета 3273 «Прочая краткосрочная кредиторская задолженность».</w:t>
      </w:r>
      <w:r>
        <w:br/>
      </w:r>
      <w:r>
        <w:rPr>
          <w:rFonts w:ascii="Times New Roman"/>
          <w:b w:val="false"/>
          <w:i w:val="false"/>
          <w:color w:val="000000"/>
          <w:sz w:val="28"/>
        </w:rPr>
        <w:t>
      При перечислении жилищных выплат на специальный счет работника производится запись: дебет субсчета 3273 «Прочая краткосрочная кредиторская задолженность» и кредит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br/>
      </w:r>
      <w:r>
        <w:rPr>
          <w:rFonts w:ascii="Times New Roman"/>
          <w:b w:val="false"/>
          <w:i w:val="false"/>
          <w:color w:val="000000"/>
          <w:sz w:val="28"/>
        </w:rPr>
        <w:t>
      Возврат жилищных выплат, ошибочно перечисленных на лицевой счет работника, отражается по дебету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кредиту субсчета 3273 «Прочая краткосрочная кредиторская задолженность».»;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«161. Аналитический учет по дебиторской и кредиторской задолженности ведется в учетных регистрах (в книгах, на многографных карточках, накопительных ведомостях и других учетных регистрах) по каждому виду на карточках формы 292-а Альбома форм.»;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«166. Книга форма 294 Альбома форм предназначена для учета плановых назначений и расходов.»;</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«192. Аналитический учет расчетов с персоналом ведется на карточках формы 292-а Альбома форм.»; </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«201. Запасы, кроме привеса и приплода молодняка, не относящегося к биологическим активам сельскохозяйственного назначения, отражаются в бухгалтерском учете и финансовой отчетности по их фактической себестоимости, которая определяется исходя из затрат их приобретение,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Торговые скидки, возвраты платежей вычитаются при определении затрат на приобретение. Прочие затраты включаются в себестоимость запасов только в той степени, в которой они связаны с доведением запасов до их настоящего местоположения и состояния.»;</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«Выдача материалов со склада производится по документам, утвержденным руководителем государственного учреждения. Для выдачи материалов применяются следующие документы:</w:t>
      </w:r>
      <w:r>
        <w:br/>
      </w:r>
      <w:r>
        <w:rPr>
          <w:rFonts w:ascii="Times New Roman"/>
          <w:b w:val="false"/>
          <w:i w:val="false"/>
          <w:color w:val="000000"/>
          <w:sz w:val="28"/>
        </w:rPr>
        <w:t>
      накладная на отпуск запасов на сторону формы 434-с Альбома форм применяется для отпуска запасов со склада на сторону. Накладная выписывается в двух экземплярах;</w:t>
      </w:r>
      <w:r>
        <w:br/>
      </w:r>
      <w:r>
        <w:rPr>
          <w:rFonts w:ascii="Times New Roman"/>
          <w:b w:val="false"/>
          <w:i w:val="false"/>
          <w:color w:val="000000"/>
          <w:sz w:val="28"/>
        </w:rPr>
        <w:t>
      накладная на внутреннее перемещение запасов формы 434-з Альбома форм применяется при выдаче материалов со склада и при перемещении материалов внутри государственного учреждения. Накладная выписывается в двух экземплярах;</w:t>
      </w:r>
      <w:r>
        <w:br/>
      </w:r>
      <w:r>
        <w:rPr>
          <w:rFonts w:ascii="Times New Roman"/>
          <w:b w:val="false"/>
          <w:i w:val="false"/>
          <w:color w:val="000000"/>
          <w:sz w:val="28"/>
        </w:rPr>
        <w:t xml:space="preserve">
      меню-требование формы 299 Альбома форм применяется для выдачи продуктов питания со склада. Меню-требование составляется ежедневно на основании норм раскладки продуктов питания и данных о количестве довольствующихся.»;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«225. Материалы и топливо выдаются в пределах установленного лимита по предъявлении получателем своего экземпляра заборной карты. Отпуск материалов сверх установленного лимита производится по накладной формы 434-з Альбома форм.</w:t>
      </w:r>
      <w:r>
        <w:br/>
      </w:r>
      <w:r>
        <w:rPr>
          <w:rFonts w:ascii="Times New Roman"/>
          <w:b w:val="false"/>
          <w:i w:val="false"/>
          <w:color w:val="000000"/>
          <w:sz w:val="28"/>
        </w:rPr>
        <w:t>
      В тех случаях, когда выдача топлива со склада по накладной или заборной карте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w:t>
      </w:r>
      <w:r>
        <w:br/>
      </w:r>
      <w:r>
        <w:rPr>
          <w:rFonts w:ascii="Times New Roman"/>
          <w:b w:val="false"/>
          <w:i w:val="false"/>
          <w:color w:val="000000"/>
          <w:sz w:val="28"/>
        </w:rPr>
        <w:t>
      Путевой лист применяется для списания в расход горючих и смазочных материалов. Горючие и смазочные материалы списываются по фактическому расходу, но не выше норм, утвержденных для отдельных марок автомобилей.</w:t>
      </w:r>
      <w:r>
        <w:br/>
      </w:r>
      <w:r>
        <w:rPr>
          <w:rFonts w:ascii="Times New Roman"/>
          <w:b w:val="false"/>
          <w:i w:val="false"/>
          <w:color w:val="000000"/>
          <w:sz w:val="28"/>
        </w:rPr>
        <w:t xml:space="preserve">
      Товарно-транспортная накладная формы 1-т Альбома форм применяется для перевозки грузов для нужд своего государственного учреждения на собственных автомобилях. </w:t>
      </w:r>
      <w:r>
        <w:br/>
      </w:r>
      <w:r>
        <w:rPr>
          <w:rFonts w:ascii="Times New Roman"/>
          <w:b w:val="false"/>
          <w:i w:val="false"/>
          <w:color w:val="000000"/>
          <w:sz w:val="28"/>
        </w:rPr>
        <w:t>
      Талоны на горючие и смазочные материалы (субсчет 1315 «Топливо, ГСМ») выдаются водителю по распоряжению руководителя государственного учреждения. Повторная выдача талонов может производиться только после сдачи отчета заранее полученные.</w:t>
      </w:r>
      <w:r>
        <w:br/>
      </w:r>
      <w:r>
        <w:rPr>
          <w:rFonts w:ascii="Times New Roman"/>
          <w:b w:val="false"/>
          <w:i w:val="false"/>
          <w:color w:val="000000"/>
          <w:sz w:val="28"/>
        </w:rPr>
        <w:t>
      Аналитический учет талонов и горюче-смазочных материалов по каждому виду ведется на карточках формы 292-а Альбома форм, учет бланков трудовых книжек в книге формы 449 Альбома форм.»;</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236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«удерживаются для использования в производстве или поставке товаров или услуг, для сдачи в аренду другим лицам или для административных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«239. Крупные запасные части и резервное оборудование которые как ожидается, будут использованы в течение более чем одного года и которые могут использоваться только в связи с объектом основных средств, признаются и учитываются как основные средства.»;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«244. Для учета основных средств, незавершенного строительства, резерва на переоценку основных средств государственного учреждения предназначены счета/субсчета:»;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«258. Амортизация не начисляется по нижеследующим основным средствам:</w:t>
      </w:r>
      <w:r>
        <w:br/>
      </w:r>
      <w:r>
        <w:rPr>
          <w:rFonts w:ascii="Times New Roman"/>
          <w:b w:val="false"/>
          <w:i w:val="false"/>
          <w:color w:val="000000"/>
          <w:sz w:val="28"/>
        </w:rPr>
        <w:t>
      земле;</w:t>
      </w:r>
      <w:r>
        <w:br/>
      </w:r>
      <w:r>
        <w:rPr>
          <w:rFonts w:ascii="Times New Roman"/>
          <w:b w:val="false"/>
          <w:i w:val="false"/>
          <w:color w:val="000000"/>
          <w:sz w:val="28"/>
        </w:rPr>
        <w:t>
      активам культурного наследия;</w:t>
      </w:r>
      <w:r>
        <w:br/>
      </w: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r>
        <w:br/>
      </w: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r>
        <w:br/>
      </w:r>
      <w:r>
        <w:rPr>
          <w:rFonts w:ascii="Times New Roman"/>
          <w:b w:val="false"/>
          <w:i w:val="false"/>
          <w:color w:val="000000"/>
          <w:sz w:val="28"/>
        </w:rPr>
        <w:t>
      экспонатам животного мира (в зоопарках и других аналогичных государственных учреждениях);</w:t>
      </w:r>
      <w:r>
        <w:br/>
      </w: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r>
        <w:br/>
      </w:r>
      <w:r>
        <w:rPr>
          <w:rFonts w:ascii="Times New Roman"/>
          <w:b w:val="false"/>
          <w:i w:val="false"/>
          <w:color w:val="000000"/>
          <w:sz w:val="28"/>
        </w:rPr>
        <w:t>
      вооружению и военной технике;</w:t>
      </w:r>
      <w:r>
        <w:br/>
      </w:r>
      <w:r>
        <w:rPr>
          <w:rFonts w:ascii="Times New Roman"/>
          <w:b w:val="false"/>
          <w:i w:val="false"/>
          <w:color w:val="000000"/>
          <w:sz w:val="28"/>
        </w:rPr>
        <w:t xml:space="preserve">
      арттехвооружению; </w:t>
      </w:r>
      <w:r>
        <w:br/>
      </w:r>
      <w:r>
        <w:rPr>
          <w:rFonts w:ascii="Times New Roman"/>
          <w:b w:val="false"/>
          <w:i w:val="false"/>
          <w:color w:val="000000"/>
          <w:sz w:val="28"/>
        </w:rPr>
        <w:t xml:space="preserve">
      активам, переведенным на консервацию.»;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«265. Сумма амортизации объектов основных средств с использованием установленных норм амортизации определяется путем умножения первоначальной стоимости (переоцененной стоимости – для переоцененных) основных средств на ежемесячную норму амортизации, определенную исходя из утвержденных годовых норм износа по долгосрочным активам государственных учреждений.</w:t>
      </w:r>
      <w:r>
        <w:br/>
      </w:r>
      <w:r>
        <w:rPr>
          <w:rFonts w:ascii="Times New Roman"/>
          <w:b w:val="false"/>
          <w:i w:val="false"/>
          <w:color w:val="000000"/>
          <w:sz w:val="28"/>
        </w:rPr>
        <w:t>
      Начисление износа по основным средствам, не предусмотренным в Годовых нормах износа по долгосрочным активам государственных учреждений, следует производить по нормам износа на аналогичные основные средства (активы).»;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«275. Выбытие объектов основных средств может произойти разными способами (путем продажи, безвозмездной передачи, ликвидации).</w:t>
      </w:r>
      <w:r>
        <w:br/>
      </w:r>
      <w:r>
        <w:rPr>
          <w:rFonts w:ascii="Times New Roman"/>
          <w:b w:val="false"/>
          <w:i w:val="false"/>
          <w:color w:val="000000"/>
          <w:sz w:val="28"/>
        </w:rPr>
        <w:t xml:space="preserve">
      Операции по приему, передаче, выбытию, списанию долгосрочного актива по субсчету 2411 «Незавершенное строительство» производятся аналогично операциям по основным средствам. </w:t>
      </w:r>
      <w:r>
        <w:br/>
      </w:r>
      <w:r>
        <w:rPr>
          <w:rFonts w:ascii="Times New Roman"/>
          <w:b w:val="false"/>
          <w:i w:val="false"/>
          <w:color w:val="000000"/>
          <w:sz w:val="28"/>
        </w:rPr>
        <w:t>
      Выбытие основных средств осуществляется в соответствии с требованиями законодательства Республики Казахстан в сфере управления государственным имуществом.</w:t>
      </w:r>
      <w:r>
        <w:br/>
      </w:r>
      <w:r>
        <w:rPr>
          <w:rFonts w:ascii="Times New Roman"/>
          <w:b w:val="false"/>
          <w:i w:val="false"/>
          <w:color w:val="000000"/>
          <w:sz w:val="28"/>
        </w:rPr>
        <w:t>
      Государственное учреждение не должно самостоятельно реализовывать закрепленные за ним активы, приобретенные за счет средств, выделенных им по плану финансирования. Реализация активов осуществляется в соответствии с законодательством Республики Казахстан в сфере управления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«280. При поступлении активов в государственном учреждении для учета ввода объектов основных средств и незавершенного строительства, инвестиционной недвижимости в эксплуатацию и при их перемещении постоянно действующей комиссией составляется акт форма ОС-1 Альбома форм в двух экземплярах, на каждый отдельный объект или компонент объекта. Материально-ответственное лицо передает в бухгалтерскую службу оформленный акт с приложенной технической документацией для подписания главным бухгалтером и утверждения руководителем государственного учреждения или лицами, на это уполномоченными.»;</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«При смене ответственного лица производится инвентаризация основных средств, находящихся на его хранении, о чем составляется приемо-сдаточный акт по форме ОС-1 Альбома форм «Акт приемки-передачи (перемещения) основных средств и инвестиционной недвижимости», который утверждается руководителем государственного учреждения.»;</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«Карточка форма ОС-6 Альбома форм предназначена для учета зданий, сооружений, передаточных средств, машин и оборудования, инструментов, производственного (включая принадлежности) и хозяйственного инвентаря, транспортных средств, активов культурного наследия, библиотечных фондов и прочих основных средств. Записи в ней производятся на основании первичных документов: актов приемки о вводе в эксплуатацию, технических паспортов заводов – 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в эксплуатацию. Кроме того, записывается краткая индивидуальная характеристика объекта (предмета). В тех случаях, когда в составе оборудования, приборов, вычислительной техники и другого оборудования имеются драгоценные металлы, в разделе «Краткая индивидуальная характеристика объекта» указывается перечень деталей, в составе которых имеется драгоценный металл, наименование детали и масса металла, указанная в паспорте. В инвентарных карточках учета основных средств и инвестиционной недвижимости формы ОС-6 Альбома форм записывается накопленная сумма амортизации в тенге, шифр годовой нормы износа, год и месяц, в котором последний раз начисляется износ, только по выбывшим долгосрочным активам.»;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«286.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актами установленных форм: «Акт на списание 286.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актами установленных форм: «Акт на списание основных средств, инвестиционной недвижимости» (форма ОС-3 Альбома форм), «Акт на списание автотранспортных средств» (форма ОС-4 Альбома форм), «Акт на списание с баланса инструментов, производственного и хозяйственного инвентаря» (форма 443 Альбома форм), «Акт на списание из библиотеки литературы в государственных учреждениях» (форма 444 Альбома форм). Акт на списание основных средств, инвестиционной недвижимости утверждает руководитель государственного учреждения. Разборка и демонтаж объектов основных средств, незавершенного строительства и инвестиционной недвижимости до утверждения актов на списание не допускается. Списание имущества государственных учреждений осуществляется в соответствии с законодательством Республики Казахстан о государственном имуществе.</w:t>
      </w:r>
      <w:r>
        <w:br/>
      </w:r>
      <w:r>
        <w:rPr>
          <w:rFonts w:ascii="Times New Roman"/>
          <w:b w:val="false"/>
          <w:i w:val="false"/>
          <w:color w:val="000000"/>
          <w:sz w:val="28"/>
        </w:rPr>
        <w:t>
      Материалы, полученные от разборки отдельных объектов основных средств и оставленных для хозяйственных нужд государственного учреждения, переквалифицируются в запасы и оформляются Актом об оприходовании запасов, полученных при разборке и демонтаже долгосрочных активов форма 429-р Альбома форм.</w:t>
      </w:r>
      <w:r>
        <w:br/>
      </w:r>
      <w:r>
        <w:rPr>
          <w:rFonts w:ascii="Times New Roman"/>
          <w:b w:val="false"/>
          <w:i w:val="false"/>
          <w:color w:val="000000"/>
          <w:sz w:val="28"/>
        </w:rPr>
        <w:t>
      Детали и узлы, изготовленные с применением драгоценных металлов, подлежат сдаче в специализированные предприятия, а детали и узлы, изготовленные из цветных металлов и не используемые для ремонта другого оборудования, подлежат сдаче организациям, на которые возложен сбор такого сырья. Списанные с баланса детали и узлы, изготовленные с применением драгоценных металлов, учитываются в соответствии с установленным порядком.»;</w:t>
      </w:r>
      <w:r>
        <w:br/>
      </w:r>
      <w:r>
        <w:rPr>
          <w:rFonts w:ascii="Times New Roman"/>
          <w:b w:val="false"/>
          <w:i w:val="false"/>
          <w:color w:val="000000"/>
          <w:sz w:val="28"/>
        </w:rPr>
        <w:t>
</w:t>
      </w:r>
      <w:r>
        <w:rPr>
          <w:rFonts w:ascii="Times New Roman"/>
          <w:b w:val="false"/>
          <w:i w:val="false"/>
          <w:color w:val="000000"/>
          <w:sz w:val="28"/>
        </w:rPr>
        <w:t>
      дополнить пунктом 360-1 следующего содержания:</w:t>
      </w:r>
      <w:r>
        <w:br/>
      </w:r>
      <w:r>
        <w:rPr>
          <w:rFonts w:ascii="Times New Roman"/>
          <w:b w:val="false"/>
          <w:i w:val="false"/>
          <w:color w:val="000000"/>
          <w:sz w:val="28"/>
        </w:rPr>
        <w:t xml:space="preserve">
      «360-1. Операции по приему, передаче, выбытию, списанию долгосрочных активов по субсчету 2412 «Капитальные вложения в нематериальные активы» производятся аналогично операциям по нематериальным активам.»;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«364.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 </w:t>
      </w:r>
      <w:r>
        <w:br/>
      </w:r>
      <w:r>
        <w:rPr>
          <w:rFonts w:ascii="Times New Roman"/>
          <w:b w:val="false"/>
          <w:i w:val="false"/>
          <w:color w:val="000000"/>
          <w:sz w:val="28"/>
        </w:rPr>
        <w:t>
      Порядок списания нематериальных активов производится аналогично основным средствам. Для оформления списания нематериальных активов применяется «Акт на списание нематериальных активов» форма НОС-3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«379. В случаях, когда поставщиком возвращается платеж на код государственного учреждения или централизованной бухгалтерии, записи в книге «Журнал-главная» производятся без учета этих сумм. Аналитический учет доходов и расходов будущего периода ведется на карточках формы 292-а Альбома форм и в Ведомостях учета доходов и расходов будущих периодов по каждому виду (группе) расходов формы 460 и формы 461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«431. Учет расходов на командировки ведется в накопительной ведомости по расчетам с подотчетными лицами формы 386 Альбома форм (мемориальный ордер 8). </w:t>
      </w:r>
      <w:r>
        <w:br/>
      </w: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«433. Учет остальных видов расходов ведется на многографных карточках формы 283 Альбома форм или на карточке формы 292-а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«440. Аналитический учет производственных затрат ведется по каждому виду заготовок и переработок (пошив белья, заготовка топлива, переработка овощей, и другие виды заготовок и переработок) на карточках формы 292-а Альбома форм. По видам изделий, по спецификам затрат, на каждое наименование сельскохозяйственных культур или на каждую группу животных аналитический учет ведется на многографных карточках формы 283 Альбома форм. По растениеводству учитываются раздельно затраты полеводства, луговодства, садоводства, овощеводства. В случае необходимости учет ведется по отдельным культурам (зерно, овощи, картофель, фрукты и другие культуры). По животноводству учитываются отдельно затраты по крупному рогатому скоту, овцеводству, свиноводству, птицеводству.»;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476</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«Корректировка ошибок прошлых лет в текущем периоде осуществляется с применением счета 5220 «Финансовый результат предыдущих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«477. Учет по субсчетам 5010 «Финансирование капитальных вложений» ведется на карточках формы 292-а Альбома форм.»; </w:t>
      </w:r>
      <w:r>
        <w:br/>
      </w:r>
      <w:r>
        <w:rPr>
          <w:rFonts w:ascii="Times New Roman"/>
          <w:b w:val="false"/>
          <w:i w:val="false"/>
          <w:color w:val="000000"/>
          <w:sz w:val="28"/>
        </w:rPr>
        <w:t>
</w:t>
      </w:r>
      <w:r>
        <w:rPr>
          <w:rFonts w:ascii="Times New Roman"/>
          <w:b w:val="false"/>
          <w:i w:val="false"/>
          <w:color w:val="000000"/>
          <w:sz w:val="28"/>
        </w:rPr>
        <w:t>
      дополнить разделом 28 следующего содержания:</w:t>
      </w:r>
      <w:r>
        <w:br/>
      </w:r>
      <w:r>
        <w:rPr>
          <w:rFonts w:ascii="Times New Roman"/>
          <w:b w:val="false"/>
          <w:i w:val="false"/>
          <w:color w:val="000000"/>
          <w:sz w:val="28"/>
        </w:rPr>
        <w:t>
      «28. Порядок учета активов и обязательств по договорам концессии.</w:t>
      </w:r>
      <w:r>
        <w:br/>
      </w:r>
      <w:r>
        <w:rPr>
          <w:rFonts w:ascii="Times New Roman"/>
          <w:b w:val="false"/>
          <w:i w:val="false"/>
          <w:color w:val="000000"/>
          <w:sz w:val="28"/>
        </w:rPr>
        <w:t>
      517. Принятие объектов концессии в государственную собственность осуществляется в соответствии с законодательством Республики Казахстан о концессиях.</w:t>
      </w:r>
      <w:r>
        <w:br/>
      </w:r>
      <w:r>
        <w:rPr>
          <w:rFonts w:ascii="Times New Roman"/>
          <w:b w:val="false"/>
          <w:i w:val="false"/>
          <w:color w:val="000000"/>
          <w:sz w:val="28"/>
        </w:rPr>
        <w:t>
      В соответствии с законодательством Республики Казахстан о концессиях концедентом является Республика Казахстан, от имени которой выступают Правительство Республики Казахстан или местный исполнительный орган, а также уполномоченные ими на заключение договора концессии государственные органы.</w:t>
      </w:r>
      <w:r>
        <w:br/>
      </w:r>
      <w:r>
        <w:rPr>
          <w:rFonts w:ascii="Times New Roman"/>
          <w:b w:val="false"/>
          <w:i w:val="false"/>
          <w:color w:val="000000"/>
          <w:sz w:val="28"/>
        </w:rPr>
        <w:t xml:space="preserve">
      В рамках концессионного соглашения концессионером является заключившее договор концессии юридическое лицо и/или физическое лицо, осуществляющее предпринимательскую деятельность. </w:t>
      </w:r>
      <w:r>
        <w:br/>
      </w:r>
      <w:r>
        <w:rPr>
          <w:rFonts w:ascii="Times New Roman"/>
          <w:b w:val="false"/>
          <w:i w:val="false"/>
          <w:color w:val="000000"/>
          <w:sz w:val="28"/>
        </w:rPr>
        <w:t xml:space="preserve">
      В бухгалтерском учете следует обеспечить правильное документальное оформление и своевременное отражение в регистрах учета поступления и выбытия концессионного актива, а также контроль за их сохранностью. </w:t>
      </w:r>
      <w:r>
        <w:br/>
      </w:r>
      <w:r>
        <w:rPr>
          <w:rFonts w:ascii="Times New Roman"/>
          <w:b w:val="false"/>
          <w:i w:val="false"/>
          <w:color w:val="000000"/>
          <w:sz w:val="28"/>
        </w:rPr>
        <w:t xml:space="preserve">
      518. Концессионный актив в рамках концессионного соглашения предоставляется концессионером, который является существующим активом концессионера, либо строится, разрабатывается, приобретается концессионером или который является существующим или усовершенствованным существующим активом концедента. </w:t>
      </w:r>
      <w:r>
        <w:br/>
      </w:r>
      <w:r>
        <w:rPr>
          <w:rFonts w:ascii="Times New Roman"/>
          <w:b w:val="false"/>
          <w:i w:val="false"/>
          <w:color w:val="000000"/>
          <w:sz w:val="28"/>
        </w:rPr>
        <w:t>
      519. Концедент должен признавать актив, предоставленный концессионером, и усовершенствованный существующий актив концедента как концессионный актив, если:</w:t>
      </w:r>
      <w:r>
        <w:br/>
      </w:r>
      <w:r>
        <w:rPr>
          <w:rFonts w:ascii="Times New Roman"/>
          <w:b w:val="false"/>
          <w:i w:val="false"/>
          <w:color w:val="000000"/>
          <w:sz w:val="28"/>
        </w:rPr>
        <w:t xml:space="preserve">
      концедент контролирует или регулирует то, какие услуги должен предоставлять концессионер с помощью актива, кому он должен предоставлять их и по какой цене; </w:t>
      </w:r>
      <w:r>
        <w:br/>
      </w:r>
      <w:r>
        <w:rPr>
          <w:rFonts w:ascii="Times New Roman"/>
          <w:b w:val="false"/>
          <w:i w:val="false"/>
          <w:color w:val="000000"/>
          <w:sz w:val="28"/>
        </w:rPr>
        <w:t>
      концедент контролирует – на правах собственности, правах использования с целью извлечения выгоды или на ином основании – любую значительную остаточную долю в активе в конце срока действия соглашения.</w:t>
      </w:r>
      <w:r>
        <w:br/>
      </w:r>
      <w:r>
        <w:rPr>
          <w:rFonts w:ascii="Times New Roman"/>
          <w:b w:val="false"/>
          <w:i w:val="false"/>
          <w:color w:val="000000"/>
          <w:sz w:val="28"/>
        </w:rPr>
        <w:t>
      520. Для учета концессионного актива в государственных учреждениях применяются счета/субсчета подразделов 2300 «Основные средства», 2400 «Незавершенное строительство и капитальные вложения», 2700 «Нематериальные активы» с использованием дополнительной двухзначной нумерации для дополнительной аналитической информации, начиная нумерацию с 20 после установленных четырех знаков счета/субсчета с точкой. Например, сооружение, переданное по договору концессии, следует отражать на счете 2330.20 «Сооружения».</w:t>
      </w:r>
      <w:r>
        <w:br/>
      </w:r>
      <w:r>
        <w:rPr>
          <w:rFonts w:ascii="Times New Roman"/>
          <w:b w:val="false"/>
          <w:i w:val="false"/>
          <w:color w:val="000000"/>
          <w:sz w:val="28"/>
        </w:rPr>
        <w:t xml:space="preserve">
      521. Концедент должен проводить первоначальную оценку концессионного актива по справедливой стоимости, за исключением случаев, когда существующий актив концедента реклассифицирован как концессионный актив. </w:t>
      </w:r>
      <w:r>
        <w:br/>
      </w:r>
      <w:r>
        <w:rPr>
          <w:rFonts w:ascii="Times New Roman"/>
          <w:b w:val="false"/>
          <w:i w:val="false"/>
          <w:color w:val="000000"/>
          <w:sz w:val="28"/>
        </w:rPr>
        <w:t xml:space="preserve">
      В случае, когда существующий актив концедента передан в концессию, концедент должен реклассифицировать существующий актив как концессионный актив. </w:t>
      </w:r>
      <w:r>
        <w:br/>
      </w:r>
      <w:r>
        <w:rPr>
          <w:rFonts w:ascii="Times New Roman"/>
          <w:b w:val="false"/>
          <w:i w:val="false"/>
          <w:color w:val="000000"/>
          <w:sz w:val="28"/>
        </w:rPr>
        <w:t xml:space="preserve">
      522. После первоначального признания или реклассификации концессионные активы должны учитываться аналогично основным средствам и/или нематериальным активам в соответствии с разделом 9 «Порядок учета основных средств» и/или разделом 12 «Порядок учета нематериальных активов» настоящих Правил. </w:t>
      </w:r>
      <w:r>
        <w:br/>
      </w:r>
      <w:r>
        <w:rPr>
          <w:rFonts w:ascii="Times New Roman"/>
          <w:b w:val="false"/>
          <w:i w:val="false"/>
          <w:color w:val="000000"/>
          <w:sz w:val="28"/>
        </w:rPr>
        <w:t xml:space="preserve">
      523. При признании концедентом концессионного актива следует признавать обязательство. Концендент не признает обязательство, в случаях, когда существующий актив концедента реклассифицируется как концессионный актив. </w:t>
      </w:r>
      <w:r>
        <w:br/>
      </w:r>
      <w:r>
        <w:rPr>
          <w:rFonts w:ascii="Times New Roman"/>
          <w:b w:val="false"/>
          <w:i w:val="false"/>
          <w:color w:val="000000"/>
          <w:sz w:val="28"/>
        </w:rPr>
        <w:t xml:space="preserve">
      524. Первоначальная оценка обязательства производится в той же сумме, на которую был оценен концессионный актив, скорректированную на сумму любого иного вознаграждения (например, денежных средств), предоставляемого концедентом концессионеру или концессионером концеденту. </w:t>
      </w:r>
      <w:r>
        <w:br/>
      </w:r>
      <w:r>
        <w:rPr>
          <w:rFonts w:ascii="Times New Roman"/>
          <w:b w:val="false"/>
          <w:i w:val="false"/>
          <w:color w:val="000000"/>
          <w:sz w:val="28"/>
        </w:rPr>
        <w:t>
      525. Характер признаваемого обязательства зависит от характера вознаграждения, которым обмениваются концедент и концессионер. Характер вознаграждения, предоставленного концедентом концессионеру, определяется с учетом условий обязывающего соглашения и, в соответствующих случаях, договорного права.</w:t>
      </w:r>
      <w:r>
        <w:br/>
      </w:r>
      <w:r>
        <w:rPr>
          <w:rFonts w:ascii="Times New Roman"/>
          <w:b w:val="false"/>
          <w:i w:val="false"/>
          <w:color w:val="000000"/>
          <w:sz w:val="28"/>
        </w:rPr>
        <w:t>
      526. В обмен на концессионный актив концедент может выплатить концессионеру возмещение за концессионный актив следующими способами в любом их сочетании:</w:t>
      </w:r>
      <w:r>
        <w:br/>
      </w:r>
      <w:r>
        <w:rPr>
          <w:rFonts w:ascii="Times New Roman"/>
          <w:b w:val="false"/>
          <w:i w:val="false"/>
          <w:color w:val="000000"/>
          <w:sz w:val="28"/>
        </w:rPr>
        <w:t>
      осуществление платежей концессионеру (модель «финансового обязательства»);</w:t>
      </w:r>
      <w:r>
        <w:br/>
      </w:r>
      <w:r>
        <w:rPr>
          <w:rFonts w:ascii="Times New Roman"/>
          <w:b w:val="false"/>
          <w:i w:val="false"/>
          <w:color w:val="000000"/>
          <w:sz w:val="28"/>
        </w:rPr>
        <w:t>
      выплата возмещения концессионеру другими способами (модель «предоставления права концессионеру»), в частности:</w:t>
      </w:r>
      <w:r>
        <w:br/>
      </w:r>
      <w:r>
        <w:rPr>
          <w:rFonts w:ascii="Times New Roman"/>
          <w:b w:val="false"/>
          <w:i w:val="false"/>
          <w:color w:val="000000"/>
          <w:sz w:val="28"/>
        </w:rPr>
        <w:t>
      предоставление концессионеру права получать выручку от сторонних пользователей концессионного актива; или</w:t>
      </w:r>
      <w:r>
        <w:br/>
      </w:r>
      <w:r>
        <w:rPr>
          <w:rFonts w:ascii="Times New Roman"/>
          <w:b w:val="false"/>
          <w:i w:val="false"/>
          <w:color w:val="000000"/>
          <w:sz w:val="28"/>
        </w:rPr>
        <w:t>
      предоставление концессионеру доступа к другому генерирующему доход активу для его использования концессионером.</w:t>
      </w:r>
      <w:r>
        <w:br/>
      </w:r>
      <w:r>
        <w:rPr>
          <w:rFonts w:ascii="Times New Roman"/>
          <w:b w:val="false"/>
          <w:i w:val="false"/>
          <w:color w:val="000000"/>
          <w:sz w:val="28"/>
        </w:rPr>
        <w:t xml:space="preserve">
      527. Для обязательств по договорам концессии применяются две модели: </w:t>
      </w:r>
      <w:r>
        <w:br/>
      </w:r>
      <w:r>
        <w:rPr>
          <w:rFonts w:ascii="Times New Roman"/>
          <w:b w:val="false"/>
          <w:i w:val="false"/>
          <w:color w:val="000000"/>
          <w:sz w:val="28"/>
        </w:rPr>
        <w:t>
      модель финансового обязательства;</w:t>
      </w:r>
      <w:r>
        <w:br/>
      </w:r>
      <w:r>
        <w:rPr>
          <w:rFonts w:ascii="Times New Roman"/>
          <w:b w:val="false"/>
          <w:i w:val="false"/>
          <w:color w:val="000000"/>
          <w:sz w:val="28"/>
        </w:rPr>
        <w:t xml:space="preserve">
      модель предоставления права. </w:t>
      </w:r>
      <w:r>
        <w:br/>
      </w:r>
      <w:r>
        <w:rPr>
          <w:rFonts w:ascii="Times New Roman"/>
          <w:b w:val="false"/>
          <w:i w:val="false"/>
          <w:color w:val="000000"/>
          <w:sz w:val="28"/>
        </w:rPr>
        <w:t>
      528. По модели финансового обязательства: когда концедент имеет безусловное обязательство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концедент учитывает обязательство как финансовое обязательство.</w:t>
      </w:r>
      <w:r>
        <w:br/>
      </w:r>
      <w:r>
        <w:rPr>
          <w:rFonts w:ascii="Times New Roman"/>
          <w:b w:val="false"/>
          <w:i w:val="false"/>
          <w:color w:val="000000"/>
          <w:sz w:val="28"/>
        </w:rPr>
        <w:t>
      529. Концедент распределяет производимые концессионеру платежи и учитывает их в соответствии с их экономическим содержанием как уменьшение обязательства, затраты по займам и как плату за услуги, предоставленные концессионером.</w:t>
      </w:r>
      <w:r>
        <w:br/>
      </w:r>
      <w:r>
        <w:rPr>
          <w:rFonts w:ascii="Times New Roman"/>
          <w:b w:val="false"/>
          <w:i w:val="false"/>
          <w:color w:val="000000"/>
          <w:sz w:val="28"/>
        </w:rPr>
        <w:t xml:space="preserve">
      Затраты по займам и плата за услуги, предоставленные концессионером в рамках концессионных соглашений на предоставление услуг, должны учитываться как расходы. </w:t>
      </w:r>
      <w:r>
        <w:br/>
      </w:r>
      <w:r>
        <w:rPr>
          <w:rFonts w:ascii="Times New Roman"/>
          <w:b w:val="false"/>
          <w:i w:val="false"/>
          <w:color w:val="000000"/>
          <w:sz w:val="28"/>
        </w:rPr>
        <w:t>
      530.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r>
        <w:br/>
      </w:r>
      <w:r>
        <w:rPr>
          <w:rFonts w:ascii="Times New Roman"/>
          <w:b w:val="false"/>
          <w:i w:val="false"/>
          <w:color w:val="000000"/>
          <w:sz w:val="28"/>
        </w:rPr>
        <w:t xml:space="preserve">
      531. По договорам концессии по модели финансового обязательства, одновременно с начислением амортизации осуществляется списание финансирования капитальных вложений на приобретение долгосрочных активов на доходы от потребления финансирования капитальных вложений в сумме, исчисленной по норме амортизации группы, к которой относится данный актив. При этом осуществляется запись: дебет субсчета 5011 «Финансирование капитальных вложений за счет бюджетных средств» и кредит 6020 «Доходы от финансирования капитальных вложений». </w:t>
      </w:r>
      <w:r>
        <w:br/>
      </w:r>
      <w:r>
        <w:rPr>
          <w:rFonts w:ascii="Times New Roman"/>
          <w:b w:val="false"/>
          <w:i w:val="false"/>
          <w:color w:val="000000"/>
          <w:sz w:val="28"/>
        </w:rPr>
        <w:t xml:space="preserve">
      532. По модели предоставление права: когда концедент не имеет безусловного обязательства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и предоставляет концессионеру право получать доход от сторонних пользователей или иного генерирующего доход актива, концедент учитывает обязательство как незаработанную часть дохода, возникшего в результате обмена активами между концедентом и концессионером. </w:t>
      </w:r>
      <w:r>
        <w:br/>
      </w:r>
      <w:r>
        <w:rPr>
          <w:rFonts w:ascii="Times New Roman"/>
          <w:b w:val="false"/>
          <w:i w:val="false"/>
          <w:color w:val="000000"/>
          <w:sz w:val="28"/>
        </w:rPr>
        <w:t xml:space="preserve">
      Концедент должен признавать доход и уменьшать обязательство, признанное согласно экономической сущности концессионного соглашения на предоставление услуг. При этом производится запись: 4310 «Доходы будущих периодов» и кредиту счета 6220 «Прочие доходы от управления активами». </w:t>
      </w:r>
      <w:r>
        <w:br/>
      </w:r>
      <w:r>
        <w:rPr>
          <w:rFonts w:ascii="Times New Roman"/>
          <w:b w:val="false"/>
          <w:i w:val="false"/>
          <w:color w:val="000000"/>
          <w:sz w:val="28"/>
        </w:rPr>
        <w:t xml:space="preserve">
      В случаях, если концедент производит оплату за строительство, разработку, приобретение или улучшение концессионного актива путем принятия финансового обязательства и частично путем предоставления права концессионеру, необходимо отдельно учитывать каждую часть совокупного обязательства. </w:t>
      </w:r>
      <w:r>
        <w:br/>
      </w:r>
      <w:r>
        <w:rPr>
          <w:rFonts w:ascii="Times New Roman"/>
          <w:b w:val="false"/>
          <w:i w:val="false"/>
          <w:color w:val="000000"/>
          <w:sz w:val="28"/>
        </w:rPr>
        <w:t>
      Начисление амортизации основных средств по договорам концессии по модели предоставления права осуществляется по дебету счета 7110 «Расходы по амортизации долгосрочных активов» и кредиту счета 2391 «Накопленная амортизация основных средств».</w:t>
      </w:r>
      <w:r>
        <w:br/>
      </w:r>
      <w:r>
        <w:rPr>
          <w:rFonts w:ascii="Times New Roman"/>
          <w:b w:val="false"/>
          <w:i w:val="false"/>
          <w:color w:val="000000"/>
          <w:sz w:val="28"/>
        </w:rPr>
        <w:t xml:space="preserve">
      533. Концедент должен учитывать другие обязательства, условные обязательства и условные активы, возникающие в связи с концессионным соглашением на оказание услуг, в соответствии с разделами 5 «Порядок учета финансовых инвестиций и финансовых обязательств» и 18 «Определение оценочных обязательств, условных обязательств и условных активов» настоящих Правил. </w:t>
      </w:r>
      <w:r>
        <w:br/>
      </w:r>
      <w:r>
        <w:rPr>
          <w:rFonts w:ascii="Times New Roman"/>
          <w:b w:val="false"/>
          <w:i w:val="false"/>
          <w:color w:val="000000"/>
          <w:sz w:val="28"/>
        </w:rPr>
        <w:t>
      534. Учет операций по договорам, не подпадающие под условия раздела 28 «Порядок учета активов и обязательств по договорам концессии» настоящих Правил, осуществляется исходя из условий договорных отношений в соответствии с другими разделами настоящих Правил.</w:t>
      </w:r>
      <w:r>
        <w:br/>
      </w:r>
      <w:r>
        <w:rPr>
          <w:rFonts w:ascii="Times New Roman"/>
          <w:b w:val="false"/>
          <w:i w:val="false"/>
          <w:color w:val="000000"/>
          <w:sz w:val="28"/>
        </w:rPr>
        <w:t>
      535. При приемке–передаче построенного концессионером актива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Альбома форм в 2-х экземплярах.</w:t>
      </w:r>
      <w:r>
        <w:br/>
      </w:r>
      <w:r>
        <w:rPr>
          <w:rFonts w:ascii="Times New Roman"/>
          <w:b w:val="false"/>
          <w:i w:val="false"/>
          <w:color w:val="000000"/>
          <w:sz w:val="28"/>
        </w:rPr>
        <w:t>
      При приемке–передаче приобретенных концедентом или существующих активов концедента по договорам концессии постоянно действующей комиссией составляется «Акт приемки-передачи (перемещения) основных средств и инвестиционной недвижимости» форма ОС-1 Альбома форм в 2-х экземплярах.</w:t>
      </w:r>
      <w:r>
        <w:br/>
      </w:r>
      <w:r>
        <w:rPr>
          <w:rFonts w:ascii="Times New Roman"/>
          <w:b w:val="false"/>
          <w:i w:val="false"/>
          <w:color w:val="000000"/>
          <w:sz w:val="28"/>
        </w:rPr>
        <w:t>
      При приемке–передаче существующего актива концессионера или приобретенного концессионером по договорам концессии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Альбома форм в 2-х экземплярах.</w:t>
      </w:r>
      <w:r>
        <w:br/>
      </w:r>
      <w:r>
        <w:rPr>
          <w:rFonts w:ascii="Times New Roman"/>
          <w:b w:val="false"/>
          <w:i w:val="false"/>
          <w:color w:val="000000"/>
          <w:sz w:val="28"/>
        </w:rPr>
        <w:t xml:space="preserve">
      536. Аналитический учет движения концессионных активов ведется в «Инвентарной карточке учета основных средств, инвестиционной недвижимости в государственных учреждениях» форма ОС-6 Альбома форм. </w:t>
      </w:r>
      <w:r>
        <w:br/>
      </w:r>
      <w:r>
        <w:rPr>
          <w:rFonts w:ascii="Times New Roman"/>
          <w:b w:val="false"/>
          <w:i w:val="false"/>
          <w:color w:val="000000"/>
          <w:sz w:val="28"/>
        </w:rPr>
        <w:t>
      Аналитический учет движения нематериальных активов ведется в «Инвентарной карточке учета нематериальных активов» форма НОС-6 Альбома форм.</w:t>
      </w:r>
      <w:r>
        <w:br/>
      </w:r>
      <w:r>
        <w:rPr>
          <w:rFonts w:ascii="Times New Roman"/>
          <w:b w:val="false"/>
          <w:i w:val="false"/>
          <w:color w:val="000000"/>
          <w:sz w:val="28"/>
        </w:rPr>
        <w:t>
      Для оформления приемки-передачи объекта нематериальных активов применяется «Акт приемки-передачи (перемещения) нематериальных активов» форма НОС-1 Альбома форм.</w:t>
      </w:r>
      <w:r>
        <w:br/>
      </w:r>
      <w:r>
        <w:rPr>
          <w:rFonts w:ascii="Times New Roman"/>
          <w:b w:val="false"/>
          <w:i w:val="false"/>
          <w:color w:val="000000"/>
          <w:sz w:val="28"/>
        </w:rPr>
        <w:t>
      537. Списание с баланса концессионных активов осуществляется в соответствии с законодательством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их первого официального опубликования.</w:t>
      </w:r>
    </w:p>
    <w:bookmarkEnd w:id="0"/>
    <w:p>
      <w:pPr>
        <w:spacing w:after="0"/>
        <w:ind w:left="0"/>
        <w:jc w:val="both"/>
      </w:pPr>
      <w:r>
        <w:rPr>
          <w:rFonts w:ascii="Times New Roman"/>
          <w:b w:val="false"/>
          <w:i/>
          <w:color w:val="000000"/>
          <w:sz w:val="28"/>
        </w:rPr>
        <w:t>      Министр                                    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