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89a6" w14:textId="a73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644 "Об утверждении Правил составления и представления бюджетной отчетности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2013 года № 523. Зарегистрирован в Министерстве юстиции Республики Казахстан 11 декабря 2013 года № 8947.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644 «Об утверждении Правил составления и представления бюджетной отчетности уполномоченными органами по исполнению бюджета» (зарегистрированный в Реестре государственной регистрации нормативных правовых актов за № 5489)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определяют формы, периодичность, сроки, порядок составления и представления бюджетной отчетности уполномоченных органов по исполнению бюджета, включающей следующие виды отчетов: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республиканского, соответствующих местных бюджетов, государственного и консолидированного бюджетов (далее - отчеты об исполнении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движении денег на контрольном счете наличности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планов поступлений и расходов денег от реализации государственными учреждениями товаров (работ, услуг) по государственному, республиканскому и местным бюджетам;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поступлении и расходовании денег от спонсорской и благотворительной помощи по государственному, республиканскому и местным бюджетам;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движении средств в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кредиторской задолженности государственного, республиканского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дебиторской задолженности государственного, республиканского и местных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2. Порядок составления и представления отчета об исполнении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3. Порядок составления и представления отчета о движении денег на контрольном счета наличности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4. Порядок составления и представления отчета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помощи, о движении средств в иностранной валюте по государственному, республиканскому и местным бюджетам»;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По состоянию на 1 июля и 1 января нового финансового года местные уполномоченные органы области, города республиканского значения, столицы по исполнению бюджета и ведомство на основании данных балансов администраторов бюджетных программ составляют отчеты об исполнении планов поступлений и расходов денег от реализации товаров (работ, услуг) и о поступлении и расходовании денег от спонсорской и благотворительной помощи, отчет о движении средств в иностранной валюте по местным и республиканскому бюджетам, по формам, согласно приложениям 10, 11 и 20 к настоящим Правилам 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уполномоченные органы области, города республиканского значения, столицы по исполнению бюджета – ведомству: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- не позднее 10 числа второго месяца, следующего за отчетным периодом, по состоянию за истекший финансовый год - не позднее 15 числа второго месяца,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 –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бюджета, отчеты об исполнении планов поступлений и расходов денег от реализации товаров (работ, услуг) и о поступлении и расходовании денег от спонсорской и благотворительной помощи по республиканскому и местному (в разрезе областей) бюджетам: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текущего финансового года - не позднее 20 числа второго месяца, следующего за отчетным периодом, по состоянию за истекший финансовый год - не позднее 1 числа третьего месяца,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Местные уполномоченные органы по исполнению нижестоящего бюджета представляют местному уполномоченному органу по исполнению вышестоящего бюджета отчеты об исполнении планов поступлений и расходов денег от реализации государственными учреждениями товаров (работ, услуг), остающихся в их распоряжении, о поступлении и расходовании денег от спонсорской и благотворительной помощи, о движении средств в иностранной валюте в сроки, устанавливаемые последним.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Отчеты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помощи, о движении средств в иностранной валюте представляются в полном объеме посредством ИС с подтверждением отчетных данных на бумажном носителе в агрегированном формате (без данных по спецификам экономической классификации расходов бюджета) и сопроводительным письмом с пояснительной запиской, излагающей основные факторы, повлиявшие на движение денег, связанных с реализацией товаров (работ, услуг), полученных в виде спонсорской и благотворительной помощи и на движение средств в иностранной валюте.»;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«70. Структурное подразделение центрального уполномоченного органа по исполнению бюджета, ответственное за формирование отчета об исполнении государственного бюджета, на основании отчетов, представленных ведомством формирует отчеты об исполнении планов поступлений и расходов денег от реализации товаров (работ, услуг), и о поступлении и расходовании денег от спонсорской и благотворительной помощи по государственному, республиканскому и местным бюджетам (свод), по формам, согласно приложениям 10 и 11 к настоящим Правилам (без утверждения подписями).»;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«75-1. Отчет о движении средств в иностранной валюте составляется по форме (4-в сводная), согласно приложению 20 к настоящим Правилам, и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указываются код и наименование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остаток средств в иностранной валюте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сумма поступлений денег за отчетный период текущего финансового года, с нарастающим итогом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курсовая разница;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сумма поступивших бюджетных средств для конвертации;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– сумма граф 3, 4,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указываются код и наименование специфики экономической классификации расходов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сумма произведенного расходования денег за отчетный период текущего финансового года, с нарастающим итогом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сумма, перечисленная в доход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прочие перечисления;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остаток средств в иностранной валюте на конец отчетного периода.»;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5. Порядок составления и представления отчетов о кредиторской задолженности государственного, республиканского и местных бюджетов»;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Отчеты о кредиторской задолженности представляются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- по состоянию на 1 апреля и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местными уполномоченными органами области, города республиканского значения, столицы по исполнению бюджета ведомству - не позднее 17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ведомством -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отчеты о кредиторской задолженности республиканского и местного (сводный отчет о кредиторской задолженности областных бюджетов, бюджета города республиканского значения и столицы) бюджетов и кредиторской задолженности, образовавшейся за счет прочих средств - не позднее 23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сверенные с данными бухгалтерских балансов - по состоянию на 1 июля и 1 января: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местными уполномоченными органами области, города республиканского значения, столицы по исполнению бюджета ведомству - не позднее 10 числа второго месяца, следующего за отчетным периодом, за отчетный финансовый год – до 15 числа второго месяца,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ведомством -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отчеты о кредиторской задолженности республиканского и местного (сводный отчет о кредиторской задолженности областных бюджетов, бюджета города республиканского значения и столицы) бюджетов и кредиторской задолженности, образовавшейся за счет прочих средств - не позднее 20 числа второго месяца, следующего за отчетным периодом, за отчетный финансовый год – до 1 числа третьего месяца, следующего за отчетным финансовым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Отчеты о кредиторской задолженности направляются в полном объеме посредством ИС с подтверждением отчетных данных на бумажном носителе в агрегированном формате (без данных по спецификам экономической классификации расходов бюджета) и сопроводительным письмом.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кредиторской задолженности, образовавшейся за счет бюджетных и прочих средств, согласно приложениям 16 и 16-1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Отчет о кредиторской задолженности республиканского бюджета и задолженности, образовавшейся за счет прочих средств по состоянию на 1 апреля, 1 июля, 1 октября, 1 января -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письмом, без утверждения подписями, органам государственного финансового контроля и соответствующим структурным подразделениям центрального уполномоченного органа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«88. Отчеты о кредиторской задолженности государственного и местного (сводный отчет о кредиторской задолженности областных бюджетов, бюджета города республиканского значения и столицы) бюджетов и кредиторской задолженности, образовавшейся за счет прочих средств по состоянию на 1 апреля, 1 июля, 1 октября, 1 января -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письмом, без утверждения подписями, соответствующим структурным подразделениям центрального уполномоченного органа по исполнению бюджета и уполномоченному Правительством Республики Казахстан органу по внутреннему контролю.»;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6. Порядок составления и представления отчетов о дебиторской задолженности государственного, республиканского и местных бюджетов»;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Отчеты о дебиторской задолженности представляются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- по состоянию на 1 апреля и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местными уполномоченными органами области, города республиканского значения, столицы по исполнению бюджета ведомству - не позднее 17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ведомством -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отчеты о дебиторской задолженности республиканского и местного (сводный отчет о дебиторской задолженности областных бюджетов, бюджета города республиканского значения и столицы) бюджетов и дебиторской задолженности, образовавшейся за счет прочих средств - не позднее 23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сверенные с данными бухгалтерских балансов - по состоянию на 1 июля и 1 января: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местными уполномоченными органами области, города республиканского значения, столицы по исполнению бюджета ведомству - не позднее 10 числа второго месяца, следующего за отчетным периодом, за отчетный финансовый год – до 15 числа второго месяца,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ведомством -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отчеты о дебиторской задолженности республиканского и местного (сводный отчет о дебиторской задолженности областных бюджетов, бюджета города республиканского значения и столицы) бюджетов и дебиторской задолженности, образовавшейся за счет прочих средств - не позднее 20 числа второго месяца, следующего за отчетным периодом, за отчетный финансовый год – до 1 числа третьего месяца, следующего за отчетным финансовым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Отчеты о дебиторской задолженности направляются в полном объеме посредством ИС с подтверждением отчетных данных на бумажном носителе в агрегированном формате (без данных по спецификам экономической классификации расходов бюджета) и сопроводительным письмом.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кредиторской задолженности, образовавшейся за счет бюджетных и прочих средств, согласно приложениям 16-1 и 16-2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«99. Отчет о дебиторской задолженности республиканского бюджета и задолженности, образовавшейся за счет прочих средств по состоянию на 1 апреля, 1 июля, 1 октября, 1 января -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письмом, без утверждения подписями, органам государственного финансового контроля и соответствующим структурным подразделениям центрального уполномоченного органа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«101. Отчеты о дебиторской задолженности государственного и местного (сводный отчет о дебиторской задолженности областных бюджетов, бюджета города республиканского значения и столицы) бюджетов и дебиторской задолженности, образовавшейся за счет прочих средств по состоянию на 1 апреля, 1 июля, 1 октября, 1 января -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письмом, без утверждения подписями, соответствующим структурным подразделениям центрального уполномоченного органа по исполнению бюджета и уполномоченному Правительством Республики Казахстан органу по внутреннему контролю.»;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7. Заключительные положения».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 об исполнении плана поступлений и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денег от реализации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36"/>
        <w:gridCol w:w="1027"/>
        <w:gridCol w:w="1134"/>
        <w:gridCol w:w="909"/>
        <w:gridCol w:w="910"/>
        <w:gridCol w:w="1028"/>
        <w:gridCol w:w="1440"/>
        <w:gridCol w:w="804"/>
        <w:gridCol w:w="1189"/>
        <w:gridCol w:w="1189"/>
        <w:gridCol w:w="1113"/>
        <w:gridCol w:w="1119"/>
      </w:tblGrid>
      <w:tr>
        <w:trPr>
          <w:trHeight w:val="9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поступлений от реализации товаров (работ, услуг)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план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отчетный период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 к годовому плану гр. 11: гр.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 к плану отчетного периода (гр. 11: гр. 10)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Остаток денег на конец отчетного периода текущего финансового года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обслуживающего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      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 (расшифровка подписи)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 о поступлении и расходовании денег от спонсорской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благотворительной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646"/>
        <w:gridCol w:w="1176"/>
        <w:gridCol w:w="1300"/>
        <w:gridCol w:w="1065"/>
        <w:gridCol w:w="1646"/>
        <w:gridCol w:w="1758"/>
        <w:gridCol w:w="1758"/>
        <w:gridCol w:w="1582"/>
      </w:tblGrid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Расходование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конец отчетного периода текущего финансового года (гр. 3-гр. 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т.ч.остаток денег 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перечислено в доход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обслуживающего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(расшифровка подписи)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КЗ-Б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(государственного, республиканского бюджета,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2336"/>
        <w:gridCol w:w="1562"/>
        <w:gridCol w:w="2057"/>
        <w:gridCol w:w="1584"/>
        <w:gridCol w:w="2030"/>
        <w:gridCol w:w="1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бюджетной классификации 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 бюджетных программ (подпрограмм) на текущий финансовый год</w:t>
            </w:r>
          </w:p>
        </w:tc>
      </w:tr>
      <w:tr>
        <w:trPr>
          <w:trHeight w:val="24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310"/>
        <w:gridCol w:w="1522"/>
        <w:gridCol w:w="2319"/>
        <w:gridCol w:w="2130"/>
        <w:gridCol w:w="1525"/>
        <w:gridCol w:w="1716"/>
        <w:gridCol w:w="19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задолженность (гр.9+гр.10)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 (гр. 11-гр.12)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к плану финансирования бюджетных программ, % (гр.14:гр.7)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М.П.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КЗ-П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(государственного, республиканского бюджета,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 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2105"/>
        <w:gridCol w:w="2105"/>
        <w:gridCol w:w="2298"/>
        <w:gridCol w:w="2511"/>
        <w:gridCol w:w="2299"/>
      </w:tblGrid>
      <w:tr>
        <w:trPr>
          <w:trHeight w:val="21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 и прочих источников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263"/>
        <w:gridCol w:w="1295"/>
        <w:gridCol w:w="2620"/>
        <w:gridCol w:w="3410"/>
        <w:gridCol w:w="28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(гр.8 + гр.9)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М.П.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ДЗ-Б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(государственного, республиканского бюджета,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2336"/>
        <w:gridCol w:w="1562"/>
        <w:gridCol w:w="2057"/>
        <w:gridCol w:w="1584"/>
        <w:gridCol w:w="1644"/>
        <w:gridCol w:w="2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бюджетной классификации 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 бюджетных программ (подпрограмм) на текущий финансовый год</w:t>
            </w:r>
          </w:p>
        </w:tc>
      </w:tr>
      <w:tr>
        <w:trPr>
          <w:trHeight w:val="24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775"/>
        <w:gridCol w:w="1667"/>
        <w:gridCol w:w="1582"/>
        <w:gridCol w:w="1337"/>
        <w:gridCol w:w="1532"/>
        <w:gridCol w:w="1315"/>
        <w:gridCol w:w="2381"/>
        <w:gridCol w:w="1121"/>
      </w:tblGrid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(гр.11+гр.12)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задолженности, погашенной в текущем году 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 (гр. 8- гр. 9- гр.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авансовых платежей (предоплата)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суммы авансовых платежей (предоплаты) к плану финансирования бюджетных программ (подпрограмм) на текущий финансовый год (гр.14: гр.7), %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М.П.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ДЗ-П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(государственного, республиканского бюджета,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1826"/>
        <w:gridCol w:w="2042"/>
        <w:gridCol w:w="2862"/>
        <w:gridCol w:w="2625"/>
        <w:gridCol w:w="2260"/>
      </w:tblGrid>
      <w:tr>
        <w:trPr>
          <w:trHeight w:val="21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платных услуг и прочих источников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642"/>
        <w:gridCol w:w="1642"/>
        <w:gridCol w:w="1862"/>
        <w:gridCol w:w="1906"/>
        <w:gridCol w:w="1598"/>
        <w:gridCol w:w="2155"/>
        <w:gridCol w:w="1517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(гр.10+ гр.11)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 (гр.7- гр.8- гр.9)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авансовых платежей (предоплата)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М.П.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      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Информация о причинах образования кредиторской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задолженности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 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__ 20__ года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учреждения/администратора </w:t>
      </w:r>
      <w:r>
        <w:rPr>
          <w:rFonts w:ascii="Times New Roman"/>
          <w:b/>
          <w:i w:val="false"/>
          <w:color w:val="000000"/>
          <w:sz w:val="28"/>
        </w:rPr>
        <w:t>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1799"/>
        <w:gridCol w:w="2385"/>
        <w:gridCol w:w="1799"/>
        <w:gridCol w:w="2385"/>
        <w:gridCol w:w="2769"/>
      </w:tblGrid>
      <w:tr>
        <w:trPr>
          <w:trHeight w:val="3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 задолженности, всего</w:t>
            </w:r>
          </w:p>
        </w:tc>
      </w:tr>
      <w:tr>
        <w:trPr>
          <w:trHeight w:val="27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416"/>
        <w:gridCol w:w="1544"/>
        <w:gridCol w:w="1363"/>
        <w:gridCol w:w="1379"/>
        <w:gridCol w:w="1034"/>
        <w:gridCol w:w="1034"/>
        <w:gridCol w:w="1061"/>
        <w:gridCol w:w="2800"/>
        <w:gridCol w:w="1035"/>
      </w:tblGrid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кредиторской задолженности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 срок оплаты по которым не наступил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заработной плате и взносам работодателей (срок оплаты по которым не наступил)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поздним представлением актов выполненных работ и авансовых отчетов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повышением тарифов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выявленная по актам сверок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недостаточностью средств по плану по платежам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 6 - гр. 7- гр. 9 – гр. 10 – гр. 11 – гр. 12 - гр.13 – гр. 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5 % удержания оплаты по строительству и 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Информация о причинах 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задолженности _____________________ </w:t>
      </w:r>
      <w:r>
        <w:rPr>
          <w:rFonts w:ascii="Times New Roman"/>
          <w:b/>
          <w:i w:val="false"/>
          <w:color w:val="000000"/>
          <w:sz w:val="28"/>
        </w:rPr>
        <w:t>за счет прочих средств                   (наименование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состоянию на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-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Ед.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717"/>
        <w:gridCol w:w="1650"/>
        <w:gridCol w:w="1982"/>
        <w:gridCol w:w="2137"/>
        <w:gridCol w:w="2403"/>
        <w:gridCol w:w="2293"/>
      </w:tblGrid>
      <w:tr>
        <w:trPr>
          <w:trHeight w:val="178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задолженности, тыс. тенге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задолженности</w:t>
            </w:r>
          </w:p>
        </w:tc>
      </w:tr>
      <w:tr>
        <w:trPr>
          <w:trHeight w:val="24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Информация о причинах образования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 счет бюджетных</w:t>
      </w:r>
      <w:r>
        <w:rPr>
          <w:rFonts w:ascii="Times New Roman"/>
          <w:b/>
          <w:i w:val="false"/>
          <w:color w:val="000000"/>
          <w:sz w:val="28"/>
        </w:rPr>
        <w:t xml:space="preserve"> средств по состоянию на 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(наименование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администратора</w:t>
      </w:r>
      <w:r>
        <w:rPr>
          <w:rFonts w:ascii="Times New Roman"/>
          <w:b/>
          <w:i w:val="false"/>
          <w:color w:val="000000"/>
          <w:sz w:val="28"/>
        </w:rPr>
        <w:t xml:space="preserve">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1799"/>
        <w:gridCol w:w="2385"/>
        <w:gridCol w:w="1799"/>
        <w:gridCol w:w="2385"/>
        <w:gridCol w:w="2769"/>
      </w:tblGrid>
      <w:tr>
        <w:trPr>
          <w:trHeight w:val="3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всего</w:t>
            </w:r>
          </w:p>
        </w:tc>
      </w:tr>
      <w:tr>
        <w:trPr>
          <w:trHeight w:val="25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96"/>
        <w:gridCol w:w="767"/>
        <w:gridCol w:w="681"/>
        <w:gridCol w:w="1220"/>
        <w:gridCol w:w="978"/>
        <w:gridCol w:w="717"/>
        <w:gridCol w:w="806"/>
        <w:gridCol w:w="719"/>
        <w:gridCol w:w="3254"/>
        <w:gridCol w:w="1502"/>
      </w:tblGrid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текущего года по условиям договоров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по переходящим (многолетним) договорам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выданные в подотчет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согласно актам сверок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(гр.6 - гр.7 - гр.8 - гр.9 - гр.10 - гр.11- гр.12 - гр.13 - гр.14 - 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судебных решений по погашению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2013 года № 523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4-в (сводная)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Отчет о движении средств в иностранной валюте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942"/>
        <w:gridCol w:w="1778"/>
        <w:gridCol w:w="1470"/>
        <w:gridCol w:w="1306"/>
        <w:gridCol w:w="1778"/>
        <w:gridCol w:w="3340"/>
      </w:tblGrid>
      <w:tr>
        <w:trPr>
          <w:trHeight w:val="42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в иностранной валюте на начало года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бюджетных средств для конвертации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гр7=(гр3+гр4+гр5+гр6)</w:t>
            </w:r>
          </w:p>
        </w:tc>
      </w:tr>
      <w:tr>
        <w:trPr>
          <w:trHeight w:val="25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АБП1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АБП2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2048"/>
        <w:gridCol w:w="1781"/>
        <w:gridCol w:w="2048"/>
        <w:gridCol w:w="2048"/>
        <w:gridCol w:w="4185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Израсходованная сумма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бюджета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перечисления</w:t>
            </w:r>
          </w:p>
        </w:tc>
        <w:tc>
          <w:tcPr>
            <w:tcW w:w="4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в иностранной валюте на конец отчетного периода гр13=(гр7-гр10-гр11-гр12)</w:t>
            </w:r>
          </w:p>
        </w:tc>
      </w:tr>
      <w:tr>
        <w:trPr>
          <w:trHeight w:val="18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