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fdfb" w14:textId="557f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Кокшетау от 25 февраля 2011 года № А-2/386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9 октября 2013 года № А-10/1972. Зарегистрировано Департаментом юстиции Акмолинской области 9 октября 2013 года № 3830. Утратило силу постановлением акимата города Кокшетау Акмолинской области от 18 сентября 2017 года № А-9/3497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Кокшетау Акмолинской области от 18.09.2017 </w:t>
      </w:r>
      <w:r>
        <w:rPr>
          <w:rFonts w:ascii="Times New Roman"/>
          <w:b w:val="false"/>
          <w:i w:val="false"/>
          <w:color w:val="ff0000"/>
          <w:sz w:val="28"/>
        </w:rPr>
        <w:t>№ А-9/3497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определении мест для размещения агитационных материалов печатных материалов и предоставлении кандидатам помещений для встреч с избирателями" от 25 февраля 2011 года № А-2/386 (зарегистрировано в Реестре государственной регистрации нормативных правовых актов № 1-1-138, опубликовано 2 марта 2011 года в газете "Степной маяк" и в газете "Кокшетау" 2 марта 2011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Амренову А.Б.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Кокшетауской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А-10/1972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7"/>
        <w:gridCol w:w="1399"/>
        <w:gridCol w:w="7326"/>
        <w:gridCol w:w="1788"/>
      </w:tblGrid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агитационных печатных материалов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для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тумбы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В.И.Вернадского 1, район железнодорожного вокзала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тумба-витрина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М.Горького, 60, район остановки "Швейная фабрика"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тумба-витрина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М.Ауэзова, 173, район остановки "Рынок"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тумба-витрина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А-10/1972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</w:t>
      </w:r>
      <w:r>
        <w:br/>
      </w:r>
      <w:r>
        <w:rPr>
          <w:rFonts w:ascii="Times New Roman"/>
          <w:b/>
          <w:i w:val="false"/>
          <w:color w:val="000000"/>
        </w:rPr>
        <w:t>на договорной основе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078"/>
        <w:gridCol w:w="9844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предоставляемые кандидатам на договорной основе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В.И.Вернадского, 46, актовый зал государственного учреждения "Средняя школа № 12" отдела образования города Кокшетау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К.С.Станиславского, 35, актовый зал государственного учреждения "Средняя школа № 14" отдела образования города Кокшетау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Е.Н.Ауельбекова, 177, актовый зал государственного учреждения "Средняя школа № 16" отдела образования города Кокшетау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