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9992" w14:textId="ee89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Хромтауском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Хромтауского района Актюбинской области от 27 марта 2013 года № 98. Зарегистрировано Департаментом юстиции Актюбинской области 23 апреля 2013 года № 3566. Утратило силу решением маслихата Хромтауского района Актюбинской области от 17 февраля 2017 года № 89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Хромтауского района Актюбинской области от 17.02.2017 </w:t>
      </w:r>
      <w:r>
        <w:rPr>
          <w:rFonts w:ascii="Times New Roman"/>
          <w:b w:val="false"/>
          <w:i w:val="false"/>
          <w:color w:val="ff0000"/>
          <w:sz w:val="28"/>
        </w:rPr>
        <w:t>№ 89</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16 октября 2012 года "О внесении изменения и дополнения в Постановление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Хромтауский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оказания жилищной помощи малообеспеченным семьям (гражданам), проживающим в Хромтауском районе. (Прилагаются).</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Третьяк</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Хромтауского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2013 года № 98</w:t>
            </w:r>
          </w:p>
        </w:tc>
      </w:tr>
    </w:tbl>
    <w:bookmarkStart w:name="z25" w:id="0"/>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проживающим в Хромтауском районе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16 октября 2012 года "О внесении изменения и дополнения в Постановление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назначения жилищной помощи малообеспеченным семьям (гражданам), проживающим в Хромтауском районе.</w:t>
      </w:r>
      <w:r>
        <w:br/>
      </w: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Жилищная помощь предоставляется лицам, постоянно проживающим на территории Хромтауского района и города Хромтау, в том случае, если расходы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в бюджете семьи превышают долю предельно допустимых расходов на эти цели.</w:t>
      </w:r>
      <w:r>
        <w:br/>
      </w:r>
      <w:r>
        <w:rPr>
          <w:rFonts w:ascii="Times New Roman"/>
          <w:b w:val="false"/>
          <w:i w:val="false"/>
          <w:color w:val="000000"/>
          <w:sz w:val="28"/>
        </w:rPr>
        <w:t>
      </w:t>
      </w:r>
      <w:r>
        <w:rPr>
          <w:rFonts w:ascii="Times New Roman"/>
          <w:b w:val="false"/>
          <w:i w:val="false"/>
          <w:color w:val="000000"/>
          <w:sz w:val="28"/>
        </w:rPr>
        <w:t>Доля предельно допустимых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устанавливается к совокупному доходу семьи в размере 8 процентов.</w:t>
      </w:r>
      <w:r>
        <w:br/>
      </w:r>
      <w:r>
        <w:rPr>
          <w:rFonts w:ascii="Times New Roman"/>
          <w:b w:val="false"/>
          <w:i w:val="false"/>
          <w:color w:val="000000"/>
          <w:sz w:val="28"/>
        </w:rPr>
        <w:t>
      </w:t>
      </w:r>
      <w:r>
        <w:rPr>
          <w:rFonts w:ascii="Times New Roman"/>
          <w:b w:val="false"/>
          <w:i w:val="false"/>
          <w:color w:val="000000"/>
          <w:sz w:val="28"/>
        </w:rPr>
        <w:t>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Хромтауского районного маслихата Актюбинской области от 20.12.2013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01.01.2014); от 20.10.2014 </w:t>
      </w:r>
      <w:r>
        <w:rPr>
          <w:rFonts w:ascii="Times New Roman"/>
          <w:b w:val="false"/>
          <w:i w:val="false"/>
          <w:color w:val="ff0000"/>
          <w:sz w:val="28"/>
        </w:rPr>
        <w:t>№ 210</w:t>
      </w:r>
      <w:r>
        <w:rPr>
          <w:rFonts w:ascii="Times New Roman"/>
          <w:b w:val="false"/>
          <w:i w:val="false"/>
          <w:color w:val="ff0000"/>
          <w:sz w:val="28"/>
        </w:rPr>
        <w:t xml:space="preserve"> (вводится в действие с 01.01.2015) от 31.03.2015 </w:t>
      </w:r>
      <w:r>
        <w:rPr>
          <w:rFonts w:ascii="Times New Roman"/>
          <w:b w:val="false"/>
          <w:i w:val="false"/>
          <w:color w:val="ff0000"/>
          <w:sz w:val="28"/>
        </w:rPr>
        <w:t xml:space="preserve">№ 239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Оплата на содержание жилища и потребления коммунальных услуг сверхустановленной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3. Компенсация повышения тарифов абонентской платы за телефон предоставляется социально защищаемым гражданам, получающим жилищную помощь, являющимся абонентами городской сети телекоммуникаций.</w:t>
      </w:r>
      <w:r>
        <w:br/>
      </w:r>
      <w:r>
        <w:rPr>
          <w:rFonts w:ascii="Times New Roman"/>
          <w:b w:val="false"/>
          <w:i w:val="false"/>
          <w:color w:val="000000"/>
          <w:sz w:val="28"/>
        </w:rPr>
        <w:t>
      </w:t>
      </w:r>
      <w:r>
        <w:rPr>
          <w:rFonts w:ascii="Times New Roman"/>
          <w:b w:val="false"/>
          <w:i w:val="false"/>
          <w:color w:val="000000"/>
          <w:sz w:val="28"/>
        </w:rPr>
        <w:t>Норма площади жилья, обеспечиваемая компенсационными мерами, принимается в объеме 18 квадратных метров на 1 человека. Для одиноко проживающих граждан норма площади жилья, обеспечиваемая компенсационными мерами, принимается в объеме 31 квадратного метра,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Расчет жилищной помощи за потребление электроэнергии на семью составляет 120 кВт/час в месяц, если меньше 120 кВт/час, то учитывается фактический объем потребления электроэнергии.</w:t>
      </w:r>
      <w:r>
        <w:br/>
      </w:r>
      <w:r>
        <w:rPr>
          <w:rFonts w:ascii="Times New Roman"/>
          <w:b w:val="false"/>
          <w:i w:val="false"/>
          <w:color w:val="000000"/>
          <w:sz w:val="28"/>
        </w:rPr>
        <w:t>
      </w:t>
      </w:r>
      <w:r>
        <w:rPr>
          <w:rFonts w:ascii="Times New Roman"/>
          <w:b w:val="false"/>
          <w:i w:val="false"/>
          <w:color w:val="000000"/>
          <w:sz w:val="28"/>
        </w:rPr>
        <w:t>При расчете социальной нормы для потребителей, имеющих приборы учета коммунальных услуг, применяются фактические затраты по показаниям счетчиков, но расходы не должны превышать установленных тарифов и нормативов.</w:t>
      </w:r>
      <w:r>
        <w:br/>
      </w:r>
      <w:r>
        <w:rPr>
          <w:rFonts w:ascii="Times New Roman"/>
          <w:b w:val="false"/>
          <w:i w:val="false"/>
          <w:color w:val="000000"/>
          <w:sz w:val="28"/>
        </w:rPr>
        <w:t>
      </w:t>
      </w:r>
      <w:r>
        <w:rPr>
          <w:rFonts w:ascii="Times New Roman"/>
          <w:b w:val="false"/>
          <w:i w:val="false"/>
          <w:color w:val="000000"/>
          <w:sz w:val="28"/>
        </w:rPr>
        <w:t>Нормативы потребления коммунальных услуг (водоснабжение, газоснабжение, канализация, тепловая энергия, мусор) устанавливаются исходя из фактического потребления.</w:t>
      </w:r>
      <w:r>
        <w:br/>
      </w:r>
      <w:r>
        <w:rPr>
          <w:rFonts w:ascii="Times New Roman"/>
          <w:b w:val="false"/>
          <w:i w:val="false"/>
          <w:color w:val="000000"/>
          <w:sz w:val="28"/>
        </w:rPr>
        <w:t>
      </w:t>
      </w:r>
      <w:r>
        <w:rPr>
          <w:rFonts w:ascii="Times New Roman"/>
          <w:b w:val="false"/>
          <w:i w:val="false"/>
          <w:color w:val="000000"/>
          <w:sz w:val="28"/>
        </w:rPr>
        <w:t>2. Назначение и выплата жилищной помощи</w:t>
      </w:r>
      <w:r>
        <w:br/>
      </w:r>
      <w:r>
        <w:rPr>
          <w:rFonts w:ascii="Times New Roman"/>
          <w:b w:val="false"/>
          <w:i w:val="false"/>
          <w:color w:val="000000"/>
          <w:sz w:val="28"/>
        </w:rPr>
        <w:t>
      </w:t>
      </w:r>
      <w:r>
        <w:rPr>
          <w:rFonts w:ascii="Times New Roman"/>
          <w:b w:val="false"/>
          <w:i w:val="false"/>
          <w:color w:val="000000"/>
          <w:sz w:val="28"/>
        </w:rPr>
        <w:t>4. Назначение жилищной помощи производится на текущий квартал полностью,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5. При изменении дохода семьи, тарифов содержания жилья и коммунальных услуг государственное учреждение "Хромтауский районный отдел занятости и социальных программ"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6. Жилищная помощь назначается на основании заявления и следующих документов:</w:t>
      </w:r>
      <w:r>
        <w:br/>
      </w:r>
      <w:r>
        <w:rPr>
          <w:rFonts w:ascii="Times New Roman"/>
          <w:b w:val="false"/>
          <w:i w:val="false"/>
          <w:color w:val="000000"/>
          <w:sz w:val="28"/>
        </w:rPr>
        <w:t>
      </w:t>
      </w:r>
      <w:r>
        <w:rPr>
          <w:rFonts w:ascii="Times New Roman"/>
          <w:b w:val="false"/>
          <w:i w:val="false"/>
          <w:color w:val="000000"/>
          <w:sz w:val="28"/>
        </w:rPr>
        <w:t>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3) документа, подтверждающего регистрацию по постоянному месту жительства (адресная справка либо справка акимов города Хромтау и сельских округов);</w:t>
      </w:r>
      <w:r>
        <w:br/>
      </w:r>
      <w:r>
        <w:rPr>
          <w:rFonts w:ascii="Times New Roman"/>
          <w:b w:val="false"/>
          <w:i w:val="false"/>
          <w:color w:val="000000"/>
          <w:sz w:val="28"/>
        </w:rPr>
        <w:t>
      </w:t>
      </w:r>
      <w:r>
        <w:rPr>
          <w:rFonts w:ascii="Times New Roman"/>
          <w:b w:val="false"/>
          <w:i w:val="false"/>
          <w:color w:val="000000"/>
          <w:sz w:val="28"/>
        </w:rPr>
        <w:t>4) документов, подтверждающих доходы семьи;</w:t>
      </w:r>
      <w:r>
        <w:br/>
      </w:r>
      <w:r>
        <w:rPr>
          <w:rFonts w:ascii="Times New Roman"/>
          <w:b w:val="false"/>
          <w:i w:val="false"/>
          <w:color w:val="000000"/>
          <w:sz w:val="28"/>
        </w:rPr>
        <w:t>
      </w:t>
      </w:r>
      <w:r>
        <w:rPr>
          <w:rFonts w:ascii="Times New Roman"/>
          <w:b w:val="false"/>
          <w:i w:val="false"/>
          <w:color w:val="000000"/>
          <w:sz w:val="28"/>
        </w:rPr>
        <w:t>5)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6) счета на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Хромтауского районного маслихата Актюбинской области от 20.12.2013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Хромтауского районного маслихата Актюбинской области от 20.12.2013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xml:space="preserve">7. Семьи (граждане), имеющие право на компенсацию затрат на содержание жилого дома, (жилого здания), кроме документов, предусмотренных </w:t>
      </w:r>
      <w:r>
        <w:rPr>
          <w:rFonts w:ascii="Times New Roman"/>
          <w:b w:val="false"/>
          <w:i w:val="false"/>
          <w:color w:val="000000"/>
          <w:sz w:val="28"/>
        </w:rPr>
        <w:t>пунктом 6</w:t>
      </w:r>
      <w:r>
        <w:rPr>
          <w:rFonts w:ascii="Times New Roman"/>
          <w:b w:val="false"/>
          <w:i w:val="false"/>
          <w:color w:val="000000"/>
          <w:sz w:val="28"/>
        </w:rPr>
        <w:t>, дополнительно предоставляют:</w:t>
      </w:r>
      <w:r>
        <w:br/>
      </w:r>
      <w:r>
        <w:rPr>
          <w:rFonts w:ascii="Times New Roman"/>
          <w:b w:val="false"/>
          <w:i w:val="false"/>
          <w:color w:val="000000"/>
          <w:sz w:val="28"/>
        </w:rPr>
        <w:t>
      </w:t>
      </w:r>
      <w:r>
        <w:rPr>
          <w:rFonts w:ascii="Times New Roman"/>
          <w:b w:val="false"/>
          <w:i w:val="false"/>
          <w:color w:val="000000"/>
          <w:sz w:val="28"/>
        </w:rPr>
        <w:t>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утвержденный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8.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xml:space="preserve">9. При ежеквартальном обращении документы, указанные в подпунктах 1), 2), 3), 4), 5), 6), 7), 8), 9) </w:t>
      </w:r>
      <w:r>
        <w:rPr>
          <w:rFonts w:ascii="Times New Roman"/>
          <w:b w:val="false"/>
          <w:i w:val="false"/>
          <w:color w:val="000000"/>
          <w:sz w:val="28"/>
        </w:rPr>
        <w:t>пункта 6</w:t>
      </w:r>
      <w:r>
        <w:rPr>
          <w:rFonts w:ascii="Times New Roman"/>
          <w:b w:val="false"/>
          <w:i w:val="false"/>
          <w:color w:val="000000"/>
          <w:sz w:val="28"/>
        </w:rPr>
        <w:t xml:space="preserve"> предоставляются при возникновении изменений.</w:t>
      </w:r>
      <w:r>
        <w:br/>
      </w:r>
      <w:r>
        <w:rPr>
          <w:rFonts w:ascii="Times New Roman"/>
          <w:b w:val="false"/>
          <w:i w:val="false"/>
          <w:color w:val="000000"/>
          <w:sz w:val="28"/>
        </w:rPr>
        <w:t>
      </w:t>
      </w:r>
      <w:r>
        <w:rPr>
          <w:rFonts w:ascii="Times New Roman"/>
          <w:b w:val="false"/>
          <w:i w:val="false"/>
          <w:color w:val="000000"/>
          <w:sz w:val="28"/>
        </w:rPr>
        <w:t>10. Жилищная помощь ежеквартально назначается малообеспеченным семьям (гражданам), за исключением семей (граждан), трудоспособные члены, которых не работают, не учатся по дневной форме обучения, не служат в армии и не зарегистрированы в государственном учреждении "Хромтауский районный отдел занятости и социальных программ"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Хромтауского районного маслихата Актюбинской области от 20.12.2013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11. Уполномоченным органом в предоставлении государственной услуги отказывается в случае, если оплата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подключенный к сети телекоммуникации, арендной платы за пользование жилищем не превышает предельно-допустимый уровень расходов семьи (гражданина) на эти цели.</w:t>
      </w:r>
      <w:r>
        <w:br/>
      </w:r>
      <w:r>
        <w:rPr>
          <w:rFonts w:ascii="Times New Roman"/>
          <w:b w:val="false"/>
          <w:i w:val="false"/>
          <w:color w:val="000000"/>
          <w:sz w:val="28"/>
        </w:rPr>
        <w:t>
      </w:t>
      </w:r>
      <w:r>
        <w:rPr>
          <w:rFonts w:ascii="Times New Roman"/>
          <w:b w:val="false"/>
          <w:i w:val="false"/>
          <w:color w:val="000000"/>
          <w:sz w:val="28"/>
        </w:rPr>
        <w:t>12. Государственное учреждение "Хромтауский районный отдел занятости и социальных программ"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13. Уведомление о назначении или об отказе в назначении осуществляется посредством личного посещения при обращении в государственное учреждение "Хромтауский районный отдел занятости и социальных программ",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14. В случае возникновения сомнения в достоверности информации государственное учреждение "Хромтауский районный отдел занятости и социальных программ" обращается в органы, уполномоченные производить проверки.</w:t>
      </w:r>
      <w:r>
        <w:br/>
      </w:r>
      <w:r>
        <w:rPr>
          <w:rFonts w:ascii="Times New Roman"/>
          <w:b w:val="false"/>
          <w:i w:val="false"/>
          <w:color w:val="000000"/>
          <w:sz w:val="28"/>
        </w:rPr>
        <w:t>
      </w:t>
      </w:r>
      <w:r>
        <w:rPr>
          <w:rFonts w:ascii="Times New Roman"/>
          <w:b w:val="false"/>
          <w:i w:val="false"/>
          <w:color w:val="000000"/>
          <w:sz w:val="28"/>
        </w:rPr>
        <w:t>При представлении в государственное учреждение "Хромтауский районный отдел занятости и социальных программ"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15. Выплата жилищной помощи осуществляется путем перечисления денежных средств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w:t>
      </w:r>
      <w:r>
        <w:rPr>
          <w:rFonts w:ascii="Times New Roman"/>
          <w:b w:val="false"/>
          <w:i w:val="false"/>
          <w:color w:val="000000"/>
          <w:sz w:val="28"/>
        </w:rPr>
        <w:t>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Национального банка РК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Хромтауского районного маслихата Актюбинской области от 20.12.2013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3. Исчисление совокупного дохода семьи (гражданина),</w:t>
      </w:r>
      <w:r>
        <w:br/>
      </w:r>
      <w:r>
        <w:rPr>
          <w:rFonts w:ascii="Times New Roman"/>
          <w:b w:val="false"/>
          <w:i w:val="false"/>
          <w:color w:val="000000"/>
          <w:sz w:val="28"/>
        </w:rPr>
        <w:t>
      претендующей на получение жилищной помощи</w:t>
      </w:r>
      <w:r>
        <w:br/>
      </w:r>
      <w:r>
        <w:rPr>
          <w:rFonts w:ascii="Times New Roman"/>
          <w:b w:val="false"/>
          <w:i w:val="false"/>
          <w:color w:val="000000"/>
          <w:sz w:val="28"/>
        </w:rPr>
        <w:t>
      </w:t>
      </w:r>
      <w:r>
        <w:rPr>
          <w:rFonts w:ascii="Times New Roman"/>
          <w:b w:val="false"/>
          <w:i w:val="false"/>
          <w:color w:val="000000"/>
          <w:sz w:val="28"/>
        </w:rPr>
        <w:t xml:space="preserve">16. Совокупный доход семьи (гражданина), претендующей на получение жилищной помощи исчисляется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4. Источники финансирования</w:t>
      </w:r>
      <w:r>
        <w:br/>
      </w:r>
      <w:r>
        <w:rPr>
          <w:rFonts w:ascii="Times New Roman"/>
          <w:b w:val="false"/>
          <w:i w:val="false"/>
          <w:color w:val="000000"/>
          <w:sz w:val="28"/>
        </w:rPr>
        <w:t>
      </w:t>
      </w:r>
      <w:r>
        <w:rPr>
          <w:rFonts w:ascii="Times New Roman"/>
          <w:b w:val="false"/>
          <w:i w:val="false"/>
          <w:color w:val="000000"/>
          <w:sz w:val="28"/>
        </w:rPr>
        <w:t>17. Финансирование выплат жилищной помощи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18.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