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f9ef" w14:textId="860f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Хромтауского районного маслихата от 27 марта 2013 года № 98 "Об утверждении Правил оказания жилищной помощи малообеспеченным семьям (гражданам), проживающим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20 декабря 2013 года № 154. Зарегистрировано Департаментом юстиции Актюбинской области 22 января 2014 года № 3760. Утратило силу решением маслихата Хромтауского района Актюбинской области от 17 февраля 2017 года № 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17.02.2017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нормативными положениями Законов Республики Казахстан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предоставления жилищной помощи"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компенсации повышения тарифов абонентской платы за оказание услуг телекоммуникаций социально защищаемым гражданам"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Республика Казахстан по делам строительства и жилищно-коммунального хозяйства от 5 декабря 2011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Правил оказания жилищной помощи малообеспеченным семьям (гражданам), проживающим в Хромтауском районе" от 27 марта 2013 года № 98 (зарегистрированного в реестре государственной регистрации нормативных правовых актов № 3566, опубликованного 30 апреля 2013 года в районной газете "Хромтау" за № 25-26)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Хромтауском районе, утвержденных указанным решением исключить 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2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стоимость однофазного счетчика электрической энергии с классом точности ниже 1 с дифференцированным учетом и контролем расхода электроэнергии по времени суток".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"имеющих в частной собственности более одной единицы жилья (квартиры, дома) или сдающих жилые помещения в наем, а также семей,".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