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a5c2" w14:textId="624a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28 мая 2013 года № 13-7. Зарегистрировано Департаментом юстиции Жамбылской области 18  июня 2013 года № 1959. Утратило силу решением маслихата Мойынкумского района Жамбылской области от 28 января 2014 года № 22-2</w:t>
      </w:r>
    </w:p>
    <w:p>
      <w:pPr>
        <w:spacing w:after="0"/>
        <w:ind w:left="0"/>
        <w:jc w:val="both"/>
      </w:pPr>
      <w:r>
        <w:rPr>
          <w:rFonts w:ascii="Times New Roman"/>
          <w:b w:val="false"/>
          <w:i w:val="false"/>
          <w:color w:val="ff0000"/>
          <w:sz w:val="28"/>
        </w:rPr>
        <w:t>       Сноска. Утратило силу решением маслихата Мойынкумского района Жамбылской области от 28.01.2014 № 22-2.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 малообеспеченным семьям (гражданам) по Мойынкумскому району.</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Асатову Галию Уашевну председателя постоянной комиссии районного маслихата по социальному развитию территорий, образования, культуры, развитию языков, охране здоровья населения, защите прав человека, защите инвалидов, по делам молодежи, семьи и женщин.</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по истечении десяти календарных дней после его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Секретарь районного</w:t>
      </w:r>
      <w:r>
        <w:br/>
      </w:r>
      <w:r>
        <w:rPr>
          <w:rFonts w:ascii="Times New Roman"/>
          <w:b w:val="false"/>
          <w:i w:val="false"/>
          <w:color w:val="000000"/>
          <w:sz w:val="28"/>
        </w:rPr>
        <w:t>
</w:t>
      </w:r>
      <w:r>
        <w:rPr>
          <w:rFonts w:ascii="Times New Roman"/>
          <w:b w:val="false"/>
          <w:i/>
          <w:color w:val="000000"/>
          <w:sz w:val="28"/>
        </w:rPr>
        <w:t>      районного маслихата                        маслихата</w:t>
      </w:r>
      <w:r>
        <w:br/>
      </w:r>
      <w:r>
        <w:rPr>
          <w:rFonts w:ascii="Times New Roman"/>
          <w:b w:val="false"/>
          <w:i w:val="false"/>
          <w:color w:val="000000"/>
          <w:sz w:val="28"/>
        </w:rPr>
        <w:t>
</w:t>
      </w:r>
      <w:r>
        <w:rPr>
          <w:rFonts w:ascii="Times New Roman"/>
          <w:b w:val="false"/>
          <w:i/>
          <w:color w:val="000000"/>
          <w:sz w:val="28"/>
        </w:rPr>
        <w:t>      Б. Исабеков                                Ш. Исабеков</w:t>
      </w:r>
    </w:p>
    <w:bookmarkEnd w:id="0"/>
    <w:bookmarkStart w:name="z5" w:id="1"/>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Мойынкумского районного маслихата</w:t>
      </w:r>
      <w:r>
        <w:br/>
      </w:r>
      <w:r>
        <w:rPr>
          <w:rFonts w:ascii="Times New Roman"/>
          <w:b w:val="false"/>
          <w:i w:val="false"/>
          <w:color w:val="000000"/>
          <w:sz w:val="28"/>
        </w:rPr>
        <w:t>
от 28 мая 2013 года № 13-7</w:t>
      </w:r>
    </w:p>
    <w:bookmarkEnd w:id="1"/>
    <w:bookmarkStart w:name="z6" w:id="2"/>
    <w:p>
      <w:pPr>
        <w:spacing w:after="0"/>
        <w:ind w:left="0"/>
        <w:jc w:val="left"/>
      </w:pPr>
      <w:r>
        <w:rPr>
          <w:rFonts w:ascii="Times New Roman"/>
          <w:b/>
          <w:i w:val="false"/>
          <w:color w:val="000000"/>
        </w:rPr>
        <w:t xml:space="preserve"> 
Правила предоставления жилищной помощи малообеспеченным семьям</w:t>
      </w:r>
      <w:r>
        <w:br/>
      </w:r>
      <w:r>
        <w:rPr>
          <w:rFonts w:ascii="Times New Roman"/>
          <w:b/>
          <w:i w:val="false"/>
          <w:color w:val="000000"/>
        </w:rPr>
        <w:t>
(гражданам) по Мойынкумскому району</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предоставления жилищной помощи малообеспеченным семьям (гражданам) по Мойынкумскому району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коммунальные услуги – услуги, предоставляемые в жилом доме (жилом здании) и включающие водоснабжение, канализацию, электроснабжение, теплоснабжение и мусороудаление;</w:t>
      </w:r>
      <w:r>
        <w:br/>
      </w:r>
      <w:r>
        <w:rPr>
          <w:rFonts w:ascii="Times New Roman"/>
          <w:b w:val="false"/>
          <w:i w:val="false"/>
          <w:color w:val="000000"/>
          <w:sz w:val="28"/>
        </w:rPr>
        <w:t>
      услугодатель – юридическое или физическое лицо, занимающееся, предоставлением коммунальных услуг;</w:t>
      </w:r>
      <w:r>
        <w:br/>
      </w:r>
      <w:r>
        <w:rPr>
          <w:rFonts w:ascii="Times New Roman"/>
          <w:b w:val="false"/>
          <w:i w:val="false"/>
          <w:color w:val="000000"/>
          <w:sz w:val="28"/>
        </w:rPr>
        <w:t>
      заявитель (физическое лицо) – лицо, обратившееся от себя лично или от имени семьи за назначением жилищной помощи;</w:t>
      </w:r>
      <w:r>
        <w:br/>
      </w:r>
      <w:r>
        <w:rPr>
          <w:rFonts w:ascii="Times New Roman"/>
          <w:b w:val="false"/>
          <w:i w:val="false"/>
          <w:color w:val="000000"/>
          <w:sz w:val="28"/>
        </w:rPr>
        <w:t>
      уполномоченный орган – коммунальное государственное учреждение «Отдел занятости и социальных программ акимата Мойынкумского района».</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за счет средств местного бюджета малообеспеченным семьям (гражданам), постоянно проживающим в Мойынкумском районе, на оплату:</w:t>
      </w:r>
      <w:r>
        <w:br/>
      </w:r>
      <w:r>
        <w:rPr>
          <w:rFonts w:ascii="Times New Roman"/>
          <w:b w:val="false"/>
          <w:i w:val="false"/>
          <w:color w:val="000000"/>
          <w:sz w:val="28"/>
        </w:rPr>
        <w:t>
</w:t>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являющимися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4)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4.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Мойынкумском районе.</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w:t>
      </w:r>
      <w:r>
        <w:br/>
      </w:r>
      <w:r>
        <w:rPr>
          <w:rFonts w:ascii="Times New Roman"/>
          <w:b w:val="false"/>
          <w:i w:val="false"/>
          <w:color w:val="000000"/>
          <w:sz w:val="28"/>
        </w:rPr>
        <w:t>
      Доля предельно-допустимых расходов семьи устанавливается к совокупному доходу семьи в размере 5 процентов.</w:t>
      </w:r>
      <w:r>
        <w:br/>
      </w:r>
      <w:r>
        <w:rPr>
          <w:rFonts w:ascii="Times New Roman"/>
          <w:b w:val="false"/>
          <w:i w:val="false"/>
          <w:color w:val="000000"/>
          <w:sz w:val="28"/>
        </w:rPr>
        <w:t>
</w:t>
      </w:r>
      <w:r>
        <w:rPr>
          <w:rFonts w:ascii="Times New Roman"/>
          <w:b w:val="false"/>
          <w:i w:val="false"/>
          <w:color w:val="000000"/>
          <w:sz w:val="28"/>
        </w:rPr>
        <w:t>
      5. Прием заявлений на оказание жилищной помощи производится в течение текущего квартала и назначается на целый квартал.</w:t>
      </w:r>
      <w:r>
        <w:br/>
      </w:r>
      <w:r>
        <w:rPr>
          <w:rFonts w:ascii="Times New Roman"/>
          <w:b w:val="false"/>
          <w:i w:val="false"/>
          <w:color w:val="000000"/>
          <w:sz w:val="28"/>
        </w:rPr>
        <w:t>
</w:t>
      </w:r>
      <w:r>
        <w:rPr>
          <w:rFonts w:ascii="Times New Roman"/>
          <w:b w:val="false"/>
          <w:i w:val="false"/>
          <w:color w:val="000000"/>
          <w:sz w:val="28"/>
        </w:rPr>
        <w:t>
      6. Жилищная помощь не назначается малообеспеченным семьям (гражданам), имеющим в частной собственности более одной единицы жилья (дома, квартиры) или сдающим жилые помещения в наем.</w:t>
      </w:r>
    </w:p>
    <w:bookmarkEnd w:id="4"/>
    <w:bookmarkStart w:name="z18" w:id="5"/>
    <w:p>
      <w:pPr>
        <w:spacing w:after="0"/>
        <w:ind w:left="0"/>
        <w:jc w:val="left"/>
      </w:pPr>
      <w:r>
        <w:rPr>
          <w:rFonts w:ascii="Times New Roman"/>
          <w:b/>
          <w:i w:val="false"/>
          <w:color w:val="000000"/>
        </w:rPr>
        <w:t xml:space="preserve"> 
2. Размер и порядок оказания жилищной помощи</w:t>
      </w:r>
    </w:p>
    <w:bookmarkEnd w:id="5"/>
    <w:bookmarkStart w:name="z19" w:id="6"/>
    <w:p>
      <w:pPr>
        <w:spacing w:after="0"/>
        <w:ind w:left="0"/>
        <w:jc w:val="both"/>
      </w:pPr>
      <w:r>
        <w:rPr>
          <w:rFonts w:ascii="Times New Roman"/>
          <w:b w:val="false"/>
          <w:i w:val="false"/>
          <w:color w:val="000000"/>
          <w:sz w:val="28"/>
        </w:rPr>
        <w:t>
      7. Для назначения жилищной помощи гражданин (семья) обращается в уполномоченный орган с заявлением и представляет документы, указанные в Правилах предоставления жилищной помощи, утвержденных Постановлением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w:t>
      </w:r>
      <w:r>
        <w:br/>
      </w:r>
      <w:r>
        <w:rPr>
          <w:rFonts w:ascii="Times New Roman"/>
          <w:b w:val="false"/>
          <w:i w:val="false"/>
          <w:color w:val="000000"/>
          <w:sz w:val="28"/>
        </w:rPr>
        <w:t>
      Документы, необходимые для назначения жилищной помощи,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8. Размер жилищной помощи не может превышать сумму фактических расходов на оплату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и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9. Получатели жилищной помощи в течение десяти дней информируют уполномоченный орган о любых изменениях формы собственности жилья, состава семьи, совокупного дохода и других факторах, влияющих на размер жилищной помощи, а также о случаях неверного начисления жилищной помощи.</w:t>
      </w:r>
      <w:r>
        <w:br/>
      </w:r>
      <w:r>
        <w:rPr>
          <w:rFonts w:ascii="Times New Roman"/>
          <w:b w:val="false"/>
          <w:i w:val="false"/>
          <w:color w:val="000000"/>
          <w:sz w:val="28"/>
        </w:rPr>
        <w:t>
</w:t>
      </w:r>
      <w:r>
        <w:rPr>
          <w:rFonts w:ascii="Times New Roman"/>
          <w:b w:val="false"/>
          <w:i w:val="false"/>
          <w:color w:val="000000"/>
          <w:sz w:val="28"/>
        </w:rPr>
        <w:t>
      10. Незаконно полученные суммы жилищной помощи подлежат возврату получателем в добровольном порядке, а в случае отказа – в судебном порядке.</w:t>
      </w:r>
      <w:r>
        <w:br/>
      </w:r>
      <w:r>
        <w:rPr>
          <w:rFonts w:ascii="Times New Roman"/>
          <w:b w:val="false"/>
          <w:i w:val="false"/>
          <w:color w:val="000000"/>
          <w:sz w:val="28"/>
        </w:rPr>
        <w:t>
      11. При назначении жилищной помощи учитываются следующие нормы площади жилья и потребления коммунальных услуг, обеспечиваемые компенсационными мерами:</w:t>
      </w:r>
      <w:r>
        <w:br/>
      </w:r>
      <w:r>
        <w:rPr>
          <w:rFonts w:ascii="Times New Roman"/>
          <w:b w:val="false"/>
          <w:i w:val="false"/>
          <w:color w:val="000000"/>
          <w:sz w:val="28"/>
        </w:rPr>
        <w:t>
</w:t>
      </w:r>
      <w:r>
        <w:rPr>
          <w:rFonts w:ascii="Times New Roman"/>
          <w:b w:val="false"/>
          <w:i w:val="false"/>
          <w:color w:val="000000"/>
          <w:sz w:val="28"/>
        </w:rPr>
        <w:t>
      1) нормы площади жилья, обеспечиваемые компенсационными мерами:</w:t>
      </w:r>
      <w:r>
        <w:br/>
      </w:r>
      <w:r>
        <w:rPr>
          <w:rFonts w:ascii="Times New Roman"/>
          <w:b w:val="false"/>
          <w:i w:val="false"/>
          <w:color w:val="000000"/>
          <w:sz w:val="28"/>
        </w:rPr>
        <w:t>
      для одиноких граждан – 30 квадратных метров, но не более фактически занимаемой площади;</w:t>
      </w:r>
      <w:r>
        <w:br/>
      </w:r>
      <w:r>
        <w:rPr>
          <w:rFonts w:ascii="Times New Roman"/>
          <w:b w:val="false"/>
          <w:i w:val="false"/>
          <w:color w:val="000000"/>
          <w:sz w:val="28"/>
        </w:rPr>
        <w:t>
      для семьи из двух и более человек – 18 квадратных метров на каждого члена семьи, но не более фактически занимаемой площади;</w:t>
      </w:r>
      <w:r>
        <w:br/>
      </w:r>
      <w:r>
        <w:rPr>
          <w:rFonts w:ascii="Times New Roman"/>
          <w:b w:val="false"/>
          <w:i w:val="false"/>
          <w:color w:val="000000"/>
          <w:sz w:val="28"/>
        </w:rPr>
        <w:t>
</w:t>
      </w:r>
      <w:r>
        <w:rPr>
          <w:rFonts w:ascii="Times New Roman"/>
          <w:b w:val="false"/>
          <w:i w:val="false"/>
          <w:color w:val="000000"/>
          <w:sz w:val="28"/>
        </w:rPr>
        <w:t>
      2) нормы потребления электроэнергии (в месяц):</w:t>
      </w:r>
      <w:r>
        <w:br/>
      </w:r>
      <w:r>
        <w:rPr>
          <w:rFonts w:ascii="Times New Roman"/>
          <w:b w:val="false"/>
          <w:i w:val="false"/>
          <w:color w:val="000000"/>
          <w:sz w:val="28"/>
        </w:rPr>
        <w:t>
      на семью от одного до двух человек – 80 киловатт на каждого члена семьи;</w:t>
      </w:r>
      <w:r>
        <w:br/>
      </w:r>
      <w:r>
        <w:rPr>
          <w:rFonts w:ascii="Times New Roman"/>
          <w:b w:val="false"/>
          <w:i w:val="false"/>
          <w:color w:val="000000"/>
          <w:sz w:val="28"/>
        </w:rPr>
        <w:t>
      от трех и более человек – 400 киловатт.</w:t>
      </w:r>
      <w:r>
        <w:br/>
      </w:r>
      <w:r>
        <w:rPr>
          <w:rFonts w:ascii="Times New Roman"/>
          <w:b w:val="false"/>
          <w:i w:val="false"/>
          <w:color w:val="000000"/>
          <w:sz w:val="28"/>
        </w:rPr>
        <w:t>
      Нормы потребления коммунальных услуг эквивалентны нормам отпуска коммунальных услуг, применяемых территориальным уполномоченным органом по регулированию естественных монополий (монополистической деятельности), при утверждении ими тарифов (цен) на оказываемые услуги.</w:t>
      </w:r>
    </w:p>
    <w:bookmarkEnd w:id="6"/>
    <w:bookmarkStart w:name="z25" w:id="7"/>
    <w:p>
      <w:pPr>
        <w:spacing w:after="0"/>
        <w:ind w:left="0"/>
        <w:jc w:val="left"/>
      </w:pPr>
      <w:r>
        <w:rPr>
          <w:rFonts w:ascii="Times New Roman"/>
          <w:b/>
          <w:i w:val="false"/>
          <w:color w:val="000000"/>
        </w:rPr>
        <w:t xml:space="preserve"> 
3. Порядок выплаты жилищной помощи</w:t>
      </w:r>
    </w:p>
    <w:bookmarkEnd w:id="7"/>
    <w:bookmarkStart w:name="z26" w:id="8"/>
    <w:p>
      <w:pPr>
        <w:spacing w:after="0"/>
        <w:ind w:left="0"/>
        <w:jc w:val="both"/>
      </w:pPr>
      <w:r>
        <w:rPr>
          <w:rFonts w:ascii="Times New Roman"/>
          <w:b w:val="false"/>
          <w:i w:val="false"/>
          <w:color w:val="000000"/>
          <w:sz w:val="28"/>
        </w:rPr>
        <w:t>
      12. Суммы, начисленные на оплату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 а компенсации повышения тарифов абонентской платы за телефон – на лицевые счета абонентов.</w:t>
      </w:r>
    </w:p>
    <w:bookmarkEnd w:id="8"/>
    <w:bookmarkStart w:name="z27" w:id="9"/>
    <w:p>
      <w:pPr>
        <w:spacing w:after="0"/>
        <w:ind w:left="0"/>
        <w:jc w:val="left"/>
      </w:pPr>
      <w:r>
        <w:rPr>
          <w:rFonts w:ascii="Times New Roman"/>
          <w:b/>
          <w:i w:val="false"/>
          <w:color w:val="000000"/>
        </w:rPr>
        <w:t xml:space="preserve"> 
4. Заключительные положения</w:t>
      </w:r>
    </w:p>
    <w:bookmarkEnd w:id="9"/>
    <w:bookmarkStart w:name="z28" w:id="10"/>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