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f119" w14:textId="f5ef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туризма,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марта 2013 года N 18/03. Зарегистрировано Департаментом юстиции Карагандинской области 6 мая 2013 года N 2326. Утратило силу постановлением акимата Карагандинской области от 1 июля 2014 года № 33/07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Карагандинской области от 01.07.2014 № 33/07.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N 1099 "Об утверждении стандартов государственных услуг в сфере туризма",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спорта", приказом Министерства экономического развития и торговли Республики Казахстан от 24 июня 2010 года N 91 "Об утверждении Методических рекомендаций по разработке регламента государственной услуги",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 в сфере туризма, физической 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"Присвоение категорий спортивным сооружениям"";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Карагандинской области от 28 декабря 2012 года N 66/26 "Об утверждении регламентов оказания государственных услуг в сфере туризма,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Б. Абдишев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N 18/03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 кандидат</w:t>
      </w:r>
      <w:r>
        <w:br/>
      </w:r>
      <w:r>
        <w:rPr>
          <w:rFonts w:ascii="Times New Roman"/>
          <w:b/>
          <w:i w:val="false"/>
          <w:color w:val="000000"/>
        </w:rPr>
        <w:t>
в мастера спорта первый спортивный разряд, тренер высшего</w:t>
      </w:r>
      <w:r>
        <w:br/>
      </w:r>
      <w:r>
        <w:rPr>
          <w:rFonts w:ascii="Times New Roman"/>
          <w:b/>
          <w:i w:val="false"/>
          <w:color w:val="000000"/>
        </w:rPr>
        <w:t>
и среднего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 квалификации первой</w:t>
      </w:r>
      <w:r>
        <w:br/>
      </w:r>
      <w:r>
        <w:rPr>
          <w:rFonts w:ascii="Times New Roman"/>
          <w:b/>
          <w:i w:val="false"/>
          <w:color w:val="000000"/>
        </w:rPr>
        <w:t>
категории, методист высшего и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первой категории, судья по спорту первой категории"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тренеры, методисты, инструкторы,спортсмены и судьи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управление туризма, физической культуры и спорта Карагандинской области;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"О нормативных правовых актах"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N 02-02-18/29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 зарегистрированного в Министерстве юстиции Республики Казахстан от 01 апреля 2011 года N 6864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N 01-08/142 "Об утверждении Правил присвоения спортивных званий, разрядов и судейских категорий по спорту" зарегистрированного в Министерстве юстиции Республики Казахстан от 18 сентября 2008 года N 5306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ЦОН-а, в случае отсутствия в уполномоченном органе собственной информационной системы,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ЦОН-а, в случае отсутствия в уполномоченного органе собственной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 Центром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 первый спортивный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 первой категории"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5"/>
        <w:gridCol w:w="3248"/>
        <w:gridCol w:w="3206"/>
        <w:gridCol w:w="3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</w:tr>
      <w:tr>
        <w:trPr>
          <w:trHeight w:val="585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21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1 рабочий день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474"/>
        <w:gridCol w:w="3432"/>
        <w:gridCol w:w="3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уполномоченного органа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уполномоченного органа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уполномоченного органа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календарных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3500"/>
        <w:gridCol w:w="3417"/>
        <w:gridCol w:w="3626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паспорта в книге, передача выписки из приказа или мотивированного отказа в Центр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выписки из приказа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паспорта либо мотивированного отказа в Центр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выписки из приказа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</w:tbl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8"/>
        <w:gridCol w:w="4639"/>
        <w:gridCol w:w="4723"/>
      </w:tblGrid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Центров регистрация, направление заявления руководителю уполномоченного органа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подготовка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</w:t>
            </w:r>
          </w:p>
        </w:tc>
      </w:tr>
      <w:tr>
        <w:trPr>
          <w:trHeight w:val="675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ЦОН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 приказа в Центр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потребителю в Центре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8"/>
        <w:gridCol w:w="4660"/>
        <w:gridCol w:w="4702"/>
      </w:tblGrid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Центров или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заявления. Подготовка мотивированного отказа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в Центр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потребителю в Центре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 первый спортивный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судья по спорту первой категории"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7089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N 18/03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категорий спортивным сооружениям"</w:t>
      </w:r>
    </w:p>
    <w:bookmarkEnd w:id="21"/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"Присвоение категорий спортивным сооружениям"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и юридические лица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управление туризма, физической культуры и спорта Карагандинской области.</w:t>
      </w:r>
    </w:p>
    <w:bookmarkEnd w:id="23"/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"О нормативных правовых актах"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через Центры обслуживания населения (далее - Центр) на присвоение первой, второй и третьей категорий спортивным сооружениям.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туризма и спорта Республики Казахстан от 14 апреля 2011 года N 02-02-18/59 "Об утверждении Правил использования спортивных сооружений" зарегистрированного в государственном регистраторе нормативно-правовых актов за N 6953 от 13 мая 2011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присвоение категории спортивному сооружению, указанной в типовой форме паспорта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бумажном носителе, либо мотивированный ответ об отказе в оказании государственной услуги в форме электронного документа.</w:t>
      </w:r>
    </w:p>
    <w:bookmarkEnd w:id="25"/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о ходе оказания государственной услуги можно получить в Центре или уполномоченном органе адреса,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ЦОН-а, в случае отсутствия в уполномоченном органе собственной информационной системы,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ЦОН-а, в случае отсутствия в уполномоченного органе собственной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 Центром фиксируются поступившие документы при помощи сканера штрихкода.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присвоении категории спортивному сооружению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типовую форму паспорта спортивного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акта технического обследования спортивного сооружения в части эксплуатационной надежности, устойчивости строительных конструкций и обеспечения необходимой степени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предоставляет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категорий спортивным сооружениям"</w:t>
      </w:r>
    </w:p>
    <w:bookmarkEnd w:id="32"/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6"/>
        <w:gridCol w:w="3248"/>
        <w:gridCol w:w="3225"/>
        <w:gridCol w:w="3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</w:tr>
      <w:tr>
        <w:trPr>
          <w:trHeight w:val="585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21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1 рабочий день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2"/>
        <w:gridCol w:w="3474"/>
        <w:gridCol w:w="3474"/>
        <w:gridCol w:w="3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уполномоченного органа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уполномоченного органа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уполномоченного органа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521"/>
        <w:gridCol w:w="3437"/>
        <w:gridCol w:w="3606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паспорта в книге, передача выписки из приказа или мотивированного отказа в Центр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выписки из приказа мотивированного отказа 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паспорта либо мотивированного отказа в Центр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выписки из приказа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</w:tr>
    </w:tbl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8"/>
        <w:gridCol w:w="4639"/>
        <w:gridCol w:w="4723"/>
      </w:tblGrid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Центров регистрация, направление заявления руководителю уполномоченного органа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подготовка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</w:t>
            </w:r>
          </w:p>
        </w:tc>
      </w:tr>
      <w:tr>
        <w:trPr>
          <w:trHeight w:val="675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ЦОН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 приказа в Центр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потребителю в Центре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9"/>
        <w:gridCol w:w="4618"/>
        <w:gridCol w:w="4723"/>
      </w:tblGrid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Центров или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заявления. Подготовка мотивированного отказа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мотивированного отказа в Центр 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потребителю в Центре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категорий спортивным сооружениям"</w:t>
      </w:r>
    </w:p>
    <w:bookmarkEnd w:id="37"/>
    <w:bookmarkStart w:name="z7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6962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N 18/03</w:t>
      </w:r>
    </w:p>
    <w:bookmarkEnd w:id="39"/>
    <w:bookmarkStart w:name="z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"Представление туристской информации, в том числе</w:t>
      </w:r>
      <w:r>
        <w:br/>
      </w:r>
      <w:r>
        <w:rPr>
          <w:rFonts w:ascii="Times New Roman"/>
          <w:b/>
          <w:i w:val="false"/>
          <w:color w:val="000000"/>
        </w:rPr>
        <w:t>
о туристском потенциале, объектах туризма и лицах,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туристскую деятельность"</w:t>
      </w:r>
    </w:p>
    <w:bookmarkEnd w:id="40"/>
    <w:bookmarkStart w:name="z7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"Представление туристской информации, в том числе о туристском потенциале, объектах туризма и лицах, осуществляющих туристскую деятельность"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физические и юридические лица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участвующие в процессе оказания государственной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туризм – путешествие физических лиц продолжительностью от двадцати четырех часов до одного года либо меньше двадцати четырех часов, но с ночевкой в целях, не связанных с оплачиваемой деятельностью в стране (месте) временного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осуществляющие туристскую деятельность, – турагенты, туроператоры, инструкторы туризма, а также оказывающие туристские услуги самостоятельно гиды (гиды - переводчики), экскурсоводы.</w:t>
      </w:r>
    </w:p>
    <w:bookmarkEnd w:id="42"/>
    <w:bookmarkStart w:name="z7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Представление туристской информации, в том числе о туристском потенциале, объектах туризма и лицах, осуществляющих туристскую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"Представление туристской информации, в том числе о туристском потенциале, объектах туризма и лицах, осуществляющих туристскую деятельность" оказывается ГУ "Управление туризма, физической культуры и спорта" Карагандинской области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N 1099 "Об утверждении стандартов государственных услуг в сфере туризма".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государственной услуги является туристская информация, в том числе о туристском потенциале, объектах туризма и лицах, осуществляющих туристскую деятельность, на бумажном носителе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Республики Казахстан (далее – получатели).</w:t>
      </w:r>
    </w:p>
    <w:bookmarkEnd w:id="44"/>
    <w:bookmarkStart w:name="z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 же в случае необходимости оценки качества государственной услуги, получатель может обратиться в уполномоченный орган, наименование, юридический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предоставления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превышают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подаче запроса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3)максимально допустимое время обслуживания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Оснований для приостановления оказания государственной услуги или отказа в предоставлении государственной услуги не существует.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и правильность оформления документов, оформляет уведомление или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уведомление, заносит данные получателя КПУ, или мотивированный отказ, направляет результат оказания государственной услуги получателю или выдает получателю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получения государственных услуг осуществляется одним сотрудником в течение рабочего дня на основании графика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бесплатно.</w:t>
      </w:r>
    </w:p>
    <w:bookmarkEnd w:id="46"/>
    <w:bookmarkStart w:name="z9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7"/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и регистрацию документов получателя осуществляет сотрудник канцелярии уполномоченного органа. Соответствующие требованиям документы регистрируются с указанием номера, даты и количества листов в регистрационном штампе, с указанием признака контроля. Получателю выдается талон с указанием номера, даты регистрации и получения получателем государственной услуги, фамилии и инициалов сотрудника,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либо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государственной услуги обращается с письменным запросом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уполномоченном органе без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помещении уполномоченного органа, которое оборудовано входом с пандусом, предназначенным для доступа людей с ограниченными физическими возможностями, а также соответствует санитарно-эпидемиологическим нормам, требованиям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 ожидания не предусмотрен в связи с отсутствием очередности при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устанавливается график, обеспечивающий его работу с 9.00 часов до 18.00 часов, пять дней в неделю, за исключением выходных и праздничных дней, с перерывом на обед с 13.00 до 14.00 по адресу,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обеспечивает сохранность, защиту и конфиденциальность информации о содержании документов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Деятельность уполномоченного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граждан, Кодекса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строгого соблюдения установленных законодательством для государственных служащих запретов и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приоритета прав и свобод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взаимной ответственности и баланса интересов личности, общества 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 законодательства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представления исчерпывающей информации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 в случае неявки заявителя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Перечисления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48"/>
    <w:bookmarkStart w:name="z10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уполномоченного органа несет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"Представление туристской информации,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о туристском потенциале, объектах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лицах, осуществляющих туристскую деятельность"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2911"/>
        <w:gridCol w:w="3306"/>
        <w:gridCol w:w="2578"/>
        <w:gridCol w:w="3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потока, работ)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канцелярии, уполномоченного органа.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органа.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ответственному исполнителю.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документов, оформляет уведомление или подготавливает мотивированный отказ.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превышают 5 рабочих дней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522"/>
        <w:gridCol w:w="3452"/>
        <w:gridCol w:w="46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Действие основного процесса (хода, потока, работ) 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потока, работ)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органа.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 в книге регистрации, заносит в КПУ, или мотивированный отказ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уведомление или мотивированный отказ получателю.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рабочего дня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4866"/>
        <w:gridCol w:w="4248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 Проводит регистрацию полученных документов и передает на рассмотрение руководителю.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 Дает поручение ответственному исполнителю.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 Проверяет полноту и правильность оформления документов, оформляет уведомление.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 Подписывает уведомление.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5.Регистрирует уведомление, заносит данные получателя в КПУ и выдает получателю.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8"/>
        <w:gridCol w:w="4296"/>
        <w:gridCol w:w="4626"/>
      </w:tblGrid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N 1. Проводит регистрацию полученных документов и передает на рассмотрение руководителю.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N 2. Дает поручение ответственному исполнителю.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N 3. Проверяет полноту и правильность оформления документов, подготавливает мотивированный отказ.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 Подписывает мотивированный отказ.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5.Регистрирует мотивированный отказ, и выдает получателю.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"Представление туристской информации,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о туристском потенциале, объектах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лицах, осуществляющих туристскую деятельность"</w:t>
      </w:r>
    </w:p>
    <w:bookmarkEnd w:id="55"/>
    <w:bookmarkStart w:name="z10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6708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N 18/03</w:t>
      </w:r>
    </w:p>
    <w:bookmarkEnd w:id="57"/>
    <w:bookmarkStart w:name="z1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 второй</w:t>
      </w:r>
      <w:r>
        <w:br/>
      </w:r>
      <w:r>
        <w:rPr>
          <w:rFonts w:ascii="Times New Roman"/>
          <w:b/>
          <w:i w:val="false"/>
          <w:color w:val="000000"/>
        </w:rPr>
        <w:t>
и третий, первый, второй и третий юношеские, тренер</w:t>
      </w:r>
      <w:r>
        <w:br/>
      </w:r>
      <w:r>
        <w:rPr>
          <w:rFonts w:ascii="Times New Roman"/>
          <w:b/>
          <w:i w:val="false"/>
          <w:color w:val="000000"/>
        </w:rPr>
        <w:t>
высшего и среднего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судья по спорту"</w:t>
      </w:r>
    </w:p>
    <w:bookmarkEnd w:id="58"/>
    <w:bookmarkStart w:name="z11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тренеры, методисты, инструкторы, спортсмены и судьи;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районные и городские отделы физической культуры и спорта.</w:t>
      </w:r>
    </w:p>
    <w:bookmarkEnd w:id="60"/>
    <w:bookmarkStart w:name="z11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"О нормативных правовых актах"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N 02-02-18/29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 зарегистрированного в Министерстве юстиции Республики Казахстан от 01 апреля 2011 года N 6864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N 01-08/142 "Об утверждении Правил присвоения спортивных званий, разрядов и судейских категорий по спорту" зарегистрированного в Министерстве юстиции Республики Казахстан от 18 сентября 2008 года N 5306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End w:id="62"/>
    <w:bookmarkStart w:name="z12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о ходе оказания государственной услуги можно получить в Центрах,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уполномоченных органах,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ЦОН-а, в случае отсутствия в уполномоченном органе собственной информационной системы,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ЦОН-а, в случае отсутствия в уполномоченного органе собственной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 Центром фиксируются поступившие документы при помощи сканера штрихкода: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64"/>
    <w:bookmarkStart w:name="z12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5"/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13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67"/>
    <w:bookmarkStart w:name="z1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68"/>
    <w:bookmarkStart w:name="z1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спорту"</w:t>
      </w:r>
    </w:p>
    <w:bookmarkEnd w:id="69"/>
    <w:bookmarkStart w:name="z13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районных и городских отделов физической</w:t>
      </w:r>
      <w:r>
        <w:br/>
      </w:r>
      <w:r>
        <w:rPr>
          <w:rFonts w:ascii="Times New Roman"/>
          <w:b/>
          <w:i w:val="false"/>
          <w:color w:val="000000"/>
        </w:rPr>
        <w:t>
культуры и спорта Карагандинской области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6526"/>
        <w:gridCol w:w="3738"/>
        <w:gridCol w:w="2995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 Караганды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 43а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426731, 412215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 Темиртау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пр. Республики 34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984963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 Сарань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улица Жамбыла 65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23990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 Шахтинск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улица Казахстанская д.101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55095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 Балхаш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Ш. Валиханова 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46238, 40194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 Приозерск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Приозерск, улица Космонавтов 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53204, 53092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 Жезказган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площадь Алашахана 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736966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 Сатпаев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проспект Сатбаева 111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37934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 Каражал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Каражал, проспект Абая 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26902, 26513 ф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Абайского района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 улица Карла маркса 43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42257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Актогайского района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Актогай, улица К. Байсеитова 26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21399, 21648 ф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Бухаржырауского района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Ботакара, улица Абылай хана 36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21143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Жанаркинского района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Атасу, проспект Сейфуллина 14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27498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Каркаралинского района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 улица Бокейханова 55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31375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Нуринского района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Киевка, улица Тауелсиздик 41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22640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Осакаровского района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Осакаровка, улица Целинная 3а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41373, 43154, 42609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Улытауского района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Улытау, улица Булкышева 17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21610, 21295, 21187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Шетский район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Аксу-Аюлы, улица Шортанбай Жырау 92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(71031), 50755, 21511</w:t>
            </w:r>
          </w:p>
        </w:tc>
      </w:tr>
    </w:tbl>
    <w:bookmarkStart w:name="z1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спорту"</w:t>
      </w:r>
    </w:p>
    <w:bookmarkEnd w:id="71"/>
    <w:bookmarkStart w:name="z1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72"/>
    <w:bookmarkStart w:name="z1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5"/>
        <w:gridCol w:w="3249"/>
        <w:gridCol w:w="3225"/>
        <w:gridCol w:w="3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</w:tr>
      <w:tr>
        <w:trPr>
          <w:trHeight w:val="585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21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1 рабочий день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раз в 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474"/>
        <w:gridCol w:w="3474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уполномоченного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уполномоченного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уполномоченного органа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календарных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3500"/>
        <w:gridCol w:w="3479"/>
        <w:gridCol w:w="3564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паспорта в книге, передача выписки из приказа или мотивированного отказа в Центр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выписки из приказа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паспорта либо мотивированного отказа в Центр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выписки из приказа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</w:tbl>
    <w:bookmarkStart w:name="z1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8"/>
        <w:gridCol w:w="4660"/>
        <w:gridCol w:w="4702"/>
      </w:tblGrid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Центров регистрация, направление заявления руководителю уполномоченного органа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подготовка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</w:t>
            </w:r>
          </w:p>
        </w:tc>
      </w:tr>
      <w:tr>
        <w:trPr>
          <w:trHeight w:val="675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ЦОН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 приказа в Центр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потребителю в Центре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9"/>
        <w:gridCol w:w="4701"/>
        <w:gridCol w:w="4640"/>
      </w:tblGrid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Центров или от потребителя, регистрация, направление заявления руководителю уполномоченного органа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заявления. Подготовка мотивированного отказа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в Центр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потребителю в Центре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спорту"</w:t>
      </w:r>
    </w:p>
    <w:bookmarkEnd w:id="76"/>
    <w:bookmarkStart w:name="z14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6708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