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19cb" w14:textId="1a31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июля 2013 года N 47/01. Зарегистрировано Департаментом юстиции Карагандинской области 29 августа 2013 года N 2382. Утратило силу постановлением акимата Карагандинской области от 9 сентября 2014 года № 46/02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Карагандинской области от 09.09.2014 </w:t>
      </w:r>
      <w:r>
        <w:rPr>
          <w:rFonts w:ascii="Times New Roman"/>
          <w:b w:val="false"/>
          <w:i w:val="false"/>
          <w:color w:val="ff0000"/>
          <w:sz w:val="28"/>
        </w:rPr>
        <w:t>№ 46/02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N 1130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промышленности Карагандинской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Карагандинской области от 27 июня 2013 года N 41/03 "Об утверждении регламента электронной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Б. Абдишев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2013 года N 47/01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осуществление деятельности по сбору (заготовке), хранению,</w:t>
      </w:r>
      <w:r>
        <w:br/>
      </w:r>
      <w:r>
        <w:rPr>
          <w:rFonts w:ascii="Times New Roman"/>
          <w:b/>
          <w:i w:val="false"/>
          <w:color w:val="000000"/>
        </w:rPr>
        <w:t>
переработке и реализации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
цветных и черных металлов, за исключением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реализации лома и отходов цветных и черных металлов,</w:t>
      </w:r>
      <w:r>
        <w:br/>
      </w:r>
      <w:r>
        <w:rPr>
          <w:rFonts w:ascii="Times New Roman"/>
          <w:b/>
          <w:i w:val="false"/>
          <w:color w:val="000000"/>
        </w:rPr>
        <w:t>
образовавшихся у юридических лиц в ходе собственного</w:t>
      </w:r>
      <w:r>
        <w:br/>
      </w:r>
      <w:r>
        <w:rPr>
          <w:rFonts w:ascii="Times New Roman"/>
          <w:b/>
          <w:i w:val="false"/>
          <w:color w:val="000000"/>
        </w:rPr>
        <w:t>
производства и в результате приобретения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
комплекса, в составе которого находились лом и (или)</w:t>
      </w:r>
      <w:r>
        <w:br/>
      </w:r>
      <w:r>
        <w:rPr>
          <w:rFonts w:ascii="Times New Roman"/>
          <w:b/>
          <w:i w:val="false"/>
          <w:color w:val="000000"/>
        </w:rPr>
        <w:t>
отходы цветных и (или) черных металлов, лицензиатам"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– государственное учреждение "Управление предпринимательства и промышленности Карагандинской области" (далее – услугодатель), а также через веб-портал "электронного правительства" www.egov.kz (далее - ПЭП) или веб-портал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металлов", утвержденного постановлением Правительства Республики Казахстан от 31 августа 2012 года N 1130 "Об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или лицензиата за получением лицензии и (или) приложения к лицензии на бумажном носителе лицензия и (или) приложение к лицензии оформляются в электронном формате, распечатываются и заверяются печатью и подписью руководителя органа-лицензиара.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выдать лицензию и (или) приложение к лицензии в электронном формате, лицензия и (или) приложение к лицензии выдаются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ЕНИС –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веб-портал "Е-лицензирование" -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-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- юридическое лицо, которому государственная услуга оказывается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структурно-функциональные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лицензия -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-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платежный шлюз "электронного правительства" -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-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услугополучателя компьютера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 в ИС ГБД "Е-лицензирование",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9 -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4 -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10 -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11 - получение услугополучателем результата услуги (электронная лицензия, переоформление, выдача дубликатов лицензии, мотивированный ответ об отказе в предоставлении услуги),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ШЭП в 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услугополучателя в ГБД ЮЛ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9 - получение услугополучателем результата услуги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услугополучателем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саll-центра: (1414).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услугополучатель;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в соответствии с их описаниями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Шаблон электронной государственной лицензии и приложения к лицензии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услугополучателям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услугополучателям: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услугополучателя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Электронная государственная услуга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частично автоматизированная и не обслуживается через центр обслуживания населения.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 юридическими лицами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лома и отходов цветных и черных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деятельности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лома и отходов цветных и черных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образовавшихся у юридических лиц в ходе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собственного производства и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приобретения имущественного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которого находились лом и (или)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(или) черных металлов, лицензиатам"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 через ПЭП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209"/>
        <w:gridCol w:w="2318"/>
        <w:gridCol w:w="2538"/>
        <w:gridCol w:w="2538"/>
        <w:gridCol w:w="1924"/>
        <w:gridCol w:w="2189"/>
      </w:tblGrid>
      <w:tr>
        <w:trPr>
          <w:trHeight w:val="108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1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услугополучателя регистрационного свидетельства ЭЦП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услугополучателя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</w:tr>
      <w:tr>
        <w:trPr>
          <w:trHeight w:val="133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54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</w:tr>
      <w:tr>
        <w:trPr>
          <w:trHeight w:val="18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если авторизация прошла успешно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не 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если оплатил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2257"/>
        <w:gridCol w:w="2300"/>
        <w:gridCol w:w="2497"/>
        <w:gridCol w:w="2475"/>
        <w:gridCol w:w="2148"/>
        <w:gridCol w:w="2041"/>
      </w:tblGrid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4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8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услугополучателя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документа, заявление (запроса услугополучателя) в ИС "Е-лицензирование" и обработка запроса в ИС "Е-лицензирование"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услугополучателя в ИС "Е-лицензирование"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5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02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в 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ЭЦП без ошибки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услугополучателя квалификационным требованиям и основаниям для выдачи лицензии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СФЕ через услугодателя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641"/>
        <w:gridCol w:w="2621"/>
        <w:gridCol w:w="2621"/>
        <w:gridCol w:w="2579"/>
        <w:gridCol w:w="2979"/>
      </w:tblGrid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услугополучателя в ГБД ЮЛ</w:t>
            </w:r>
          </w:p>
        </w:tc>
      </w:tr>
      <w:tr>
        <w:trPr>
          <w:trHeight w:val="18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21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641"/>
        <w:gridCol w:w="2642"/>
        <w:gridCol w:w="2642"/>
        <w:gridCol w:w="2642"/>
        <w:gridCol w:w="2832"/>
      </w:tblGrid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услугополучателя в ИС ГБД "Е-лицензирование"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8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в ИС ГБД "Е-лицензирование" отсутствуют данные по 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если данные по запросу найдены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 юридическими лицами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лома и отходов цветных и черных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деятельности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лома и отходов цветных и черных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образовавшихся у юридических лиц в ходе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собственного производства и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приобретения имущественного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которого находились лом и (или)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(или) черных металлов, лицензиатам"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 электронной государственной услуги через ПЭП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2423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 электронной государственной услуги через услугодателя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9248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05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 юридическими лицами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лома и отходов цветных и черных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деятельности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лома и отходов цветных и черных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образовавшихся у юридических лиц в ходе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собственного производства и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приобретения имущественного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которого находились лом и (или)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(или) черных металлов, лицензиатам"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Лицензия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___ года       N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юридического лица/полностью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(в случае наличия),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идентификационный номер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занятие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лицензируемого вида деятельности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лицензии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Закона Республики Казахстан "О лицензировании")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Особые условия действия лицензии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Закона Республики Казахстан "О лицензировании")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Лицензиар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(уполномоченное лицо)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 И. О. руководителя (уполномоченного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Подпись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</w:t>
      </w:r>
    </w:p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к лицензии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лицензии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лицензии ______________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Подвид(ы) лицензируемого вида деятельности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лицензируемого вида деятельности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Производственная база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юридического лица/полностью фамилия, имя, отчество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наличия) индивидуальный идентификационный номер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Лицензиар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руководителя (уполномоченного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подпись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приложения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выдачи ____________________________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 юридическими лицами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лома и отходов цветных и черных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деятельности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лома и отходов цветных и черных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образовавшихся у юридических лиц в ходе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собственного производства и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приобретения имущественного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которого находились лом и (или)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(или) черных металлов, лицензиатам"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"качество" и "доступность"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