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09f6" w14:textId="0010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ХXVI сессии Каражалского городского маслихата Карагандинской области от 26 декабря 2013 года № 190. Зарегистрировано Департаментом юстиции Карагандинской области 6 января 2014 года № 2489.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Принять к исполнению городской бюджет на 2014 - 2016 годы,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– 2 045 941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764 131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6 613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1 274 397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2 049 557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28 000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28 616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28 616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3 616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Каражалского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N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Учесть, что в составе поступлений бюджета города на 2014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на 2014 год установлены нормативы распределения доходов в областной бюджет, бюджету города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социальному налогу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что в составе расходов бюджета города на 2014 год распределение целевых трансфертов по администраторам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бюджете города на 2014 год предусмотрен объем субвенций, передаваемых из областного бюджета в сумме – 635 142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расходы бюджетных программ на 2014 год, финансируемые через аппараты акимов поселков Жайрем, Шалгинск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программ, не подлежащих секвестру в процессе исполнения бюджета города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93"/>
        <w:gridCol w:w="2107"/>
      </w:tblGrid>
      <w:tr>
        <w:trPr>
          <w:trHeight w:val="30" w:hRule="atLeast"/>
        </w:trPr>
        <w:tc>
          <w:tcPr>
            <w:tcW w:w="10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Жетимек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26.11.2014 № 279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498"/>
        <w:gridCol w:w="1209"/>
        <w:gridCol w:w="1209"/>
        <w:gridCol w:w="5900"/>
        <w:gridCol w:w="2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190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28"/>
        <w:gridCol w:w="1283"/>
        <w:gridCol w:w="1284"/>
        <w:gridCol w:w="5506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190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28"/>
        <w:gridCol w:w="1283"/>
        <w:gridCol w:w="1284"/>
        <w:gridCol w:w="5506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190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2014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26.11.2014 № 279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7"/>
        <w:gridCol w:w="3663"/>
      </w:tblGrid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и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190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2014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26.11.2014 № 279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7"/>
        <w:gridCol w:w="3663"/>
      </w:tblGrid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и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текущих мероприятий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инженерно 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190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2014 год, финансируемые</w:t>
      </w:r>
      <w:r>
        <w:br/>
      </w:r>
      <w:r>
        <w:rPr>
          <w:rFonts w:ascii="Times New Roman"/>
          <w:b/>
          <w:i w:val="false"/>
          <w:color w:val="000000"/>
        </w:rPr>
        <w:t>через аппараты акимов поселков Жайрем, Шалгинск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6362"/>
        <w:gridCol w:w="36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190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города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993"/>
        <w:gridCol w:w="2411"/>
        <w:gridCol w:w="2411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