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441f" w14:textId="f1a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N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V созыва Шахтинского городского маслихата Карагандинской области от 3 апреля 2013 года N 913/17. Зарегистрировано Департаментом юстиции Карагандинской области 9 апреля 2013 года N 2292.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N 895/14 "О городском бюджете на 2013-2015 годы" (зарегистрировано в Реестре государственной регистрации нормативных правовых актов за N 2064, опубликовано 18 января 2013 года в газете "Шахтинский вестник" N 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Шахтинского городского маслихата от 22 февраля 2013 года N 901/15 "О внесении изменений в решение XIV сессии Шахтинского городского маслихата от 11 декабря 2012 года N 895/14 "О городском бюджете на 2013-2015 годы" (зарегистрировано в Реестре государственной регистрации нормативных правовых актов за N 2191, опубликовано 15 марта 2013 года в газете "Шахтинский вестник" N 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"4 927 447" заменить цифрами "4 349 825";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"4 084 469" заменить цифрами "3 506 847";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"4 971 014" заменить цифрами "4 393 392";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N 913/17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N 913/17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N 913/17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N 913/17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Шахан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