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06f9" w14:textId="0b30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9 января 2013 года N 01/03. Зарегистрировано Департаментом юстиции Карагандинской области 20 февраля 2013 года N 2173.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жилищной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района                                А. Омаров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9 января 2013 года</w:t>
      </w:r>
      <w:r>
        <w:br/>
      </w:r>
      <w:r>
        <w:rPr>
          <w:rFonts w:ascii="Times New Roman"/>
          <w:b w:val="false"/>
          <w:i w:val="false"/>
          <w:color w:val="000000"/>
          <w:sz w:val="28"/>
        </w:rPr>
        <w:t>
N 01/03</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жилищной помощи"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жилищной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государственная услуга оказывается физическим лицам: малообеспеченным семьям (гражданам), постоянно проживающим в данной местности, имеющим право на получение жилищной помощи (далее – получатель государственной услуги);</w:t>
      </w:r>
      <w:r>
        <w:br/>
      </w:r>
      <w:r>
        <w:rPr>
          <w:rFonts w:ascii="Times New Roman"/>
          <w:b w:val="false"/>
          <w:i w:val="false"/>
          <w:color w:val="000000"/>
          <w:sz w:val="28"/>
        </w:rPr>
        <w:t>
      3) уполномоченный орган по назначению и выплате жилищной помощи – государственное учреждение "Отдел занятости и социальных программ Улытауского района" (далее – уполномоченный орган);</w:t>
      </w:r>
      <w:r>
        <w:br/>
      </w:r>
      <w:r>
        <w:rPr>
          <w:rFonts w:ascii="Times New Roman"/>
          <w:b w:val="false"/>
          <w:i w:val="false"/>
          <w:color w:val="000000"/>
          <w:sz w:val="28"/>
        </w:rPr>
        <w:t>
      4) жилищная помощь - пособие, предоставляемое государством малообеспеченным семьям (гражданам), постоянно проживающим в городе Балхаш,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том случае, если сумма указанных расходов в пределах норм, обеспечиваемых компенсационными мерами, в бюджете семьи превышает установленную долю предельно допустимых расходов;</w:t>
      </w:r>
      <w:r>
        <w:br/>
      </w:r>
      <w:r>
        <w:rPr>
          <w:rFonts w:ascii="Times New Roman"/>
          <w:b w:val="false"/>
          <w:i w:val="false"/>
          <w:color w:val="000000"/>
          <w:sz w:val="28"/>
        </w:rPr>
        <w:t>
      5) центр обслуживания населения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"Назначение жилищной помощи" - административная процедура, осуществляемая уполномоченным органом в целях оказания помощи в денежной форме малообеспеченным семьям (гражданам)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установленных социальных норм.</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главы 2</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N 2314,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решений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(далее - уведомление) либо мотивированный ответ об отказе в предоставлении государственной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 (71035) 21212, факс: 8 (71035) 21207, адрес электронной почты: ulytau_sobes@mail.ru.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101500, Карагандинская область, Улытауский район, село Улытау, улица Амангелды 29 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(71035) 21624, факс: 8 (71035) 21306, адрес электронной почты: renat_ulytau@mail.ru.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Улытауского района" http://www.ulytau-akimat.kz,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календарных дней;</w:t>
      </w:r>
      <w:r>
        <w:br/>
      </w:r>
      <w:r>
        <w:rPr>
          <w:rFonts w:ascii="Times New Roman"/>
          <w:b w:val="false"/>
          <w:i w:val="false"/>
          <w:color w:val="000000"/>
          <w:sz w:val="28"/>
        </w:rPr>
        <w:t>
      в центре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обслуживание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10.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После получения пакета документов центр информирует получателя государственной услуги в течение 1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В случае отказа, должностное лицо уполномоченного органа или работник центра информирует получателя государственной услуги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Основания для приостановления оказания государственной услуги определяются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в уполномоченный орган или в центр;</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регистрирует документы, рассматривает и принимает решение о назначении (отказе в назначении) жилищной помощи, оформляет уведомление о назначении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получателю государственной услуге выдается:</w:t>
      </w:r>
      <w:r>
        <w:br/>
      </w:r>
      <w:r>
        <w:rPr>
          <w:rFonts w:ascii="Times New Roman"/>
          <w:b w:val="false"/>
          <w:i w:val="false"/>
          <w:color w:val="000000"/>
          <w:sz w:val="28"/>
        </w:rPr>
        <w:t>
      1) в уполномоченном органе - талон с указанием даты регистрации, места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в уполномоченный орган:</w:t>
      </w:r>
      <w:r>
        <w:br/>
      </w:r>
      <w:r>
        <w:rPr>
          <w:rFonts w:ascii="Times New Roman"/>
          <w:b w:val="false"/>
          <w:i w:val="false"/>
          <w:color w:val="000000"/>
          <w:sz w:val="28"/>
        </w:rPr>
        <w:t>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сведения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получателем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В альтернативном процессе оказания государственной услуги участвуют:</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инспектор отдела выдачи документов центра (СФЕ 4);</w:t>
      </w:r>
      <w:r>
        <w:br/>
      </w:r>
      <w:r>
        <w:rPr>
          <w:rFonts w:ascii="Times New Roman"/>
          <w:b w:val="false"/>
          <w:i w:val="false"/>
          <w:color w:val="000000"/>
          <w:sz w:val="28"/>
        </w:rPr>
        <w:t>
      5) инспектор накопительного отдела центра (СФЕ 5);</w:t>
      </w:r>
      <w:r>
        <w:br/>
      </w:r>
      <w:r>
        <w:rPr>
          <w:rFonts w:ascii="Times New Roman"/>
          <w:b w:val="false"/>
          <w:i w:val="false"/>
          <w:color w:val="000000"/>
          <w:sz w:val="28"/>
        </w:rPr>
        <w:t>
      6) инспектор центра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8"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29" w:id="12"/>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3"/>
    <w:bookmarkStart w:name="z31" w:id="14"/>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064"/>
        <w:gridCol w:w="3064"/>
        <w:gridCol w:w="3064"/>
        <w:gridCol w:w="4256"/>
      </w:tblGrid>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0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9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жилищной помощи, выдает получателю государственной услуги талон о принятии документов с указанием номера регистрации и даты приема документов</w:t>
            </w:r>
          </w:p>
        </w:tc>
      </w:tr>
      <w:tr>
        <w:trPr>
          <w:trHeight w:val="67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и выдача талона получателю государственной услуги</w:t>
            </w:r>
          </w:p>
        </w:tc>
      </w:tr>
      <w:tr>
        <w:trPr>
          <w:trHeight w:val="16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93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w:t>
            </w:r>
          </w:p>
        </w:tc>
      </w:tr>
      <w:tr>
        <w:trPr>
          <w:trHeight w:val="67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государственной услуги</w:t>
            </w:r>
          </w:p>
        </w:tc>
      </w:tr>
      <w:tr>
        <w:trPr>
          <w:trHeight w:val="37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r>
      <w:tr>
        <w:trPr>
          <w:trHeight w:val="28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получателя государственной услуги</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получателя государственной услуги с подписанным договором, подлежащим исполнению или об отказе в предоставлении жилищной помощи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 назначении (отказе в назначении) жилищной помощи</w:t>
            </w:r>
          </w:p>
        </w:tc>
      </w:tr>
      <w:tr>
        <w:trPr>
          <w:trHeight w:val="48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5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092"/>
        <w:gridCol w:w="3387"/>
        <w:gridCol w:w="3324"/>
        <w:gridCol w:w="3621"/>
      </w:tblGrid>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84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из центра заявления со всеми необходимыми документами и регистрирует в журнале учета заявлений для назначения жилищной помощи</w:t>
            </w:r>
          </w:p>
        </w:tc>
      </w:tr>
      <w:tr>
        <w:trPr>
          <w:trHeight w:val="60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18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23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w:t>
            </w:r>
          </w:p>
        </w:tc>
      </w:tr>
      <w:tr>
        <w:trPr>
          <w:trHeight w:val="735"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r>
      <w:tr>
        <w:trPr>
          <w:trHeight w:val="15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r>
      <w:tr>
        <w:trPr>
          <w:trHeight w:val="252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получателю государственной услуги жилищной помощи с подписанным договором, подлежащим исполнению или отказом в предоставлении жилищной помощи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об оформлении (либо мотивированный ответ об отказе) документов для назначения жилищной помощи в центр</w:t>
            </w:r>
          </w:p>
        </w:tc>
      </w:tr>
      <w:tr>
        <w:trPr>
          <w:trHeight w:val="60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8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r>
        <w:trPr>
          <w:trHeight w:val="81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087"/>
        <w:gridCol w:w="3235"/>
        <w:gridCol w:w="3277"/>
        <w:gridCol w:w="3846"/>
      </w:tblGrid>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8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57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получателю государственной услуги расписку</w:t>
            </w:r>
          </w:p>
        </w:tc>
      </w:tr>
      <w:tr>
        <w:trPr>
          <w:trHeight w:val="1065"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получателю государственной услуги расписки</w:t>
            </w:r>
          </w:p>
        </w:tc>
      </w:tr>
      <w:tr>
        <w:trPr>
          <w:trHeight w:val="105"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50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передачи документов в уполномоченный орган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сектор выдачи документов</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уведомления либо мотивированный ответ об отказе из накопительного сектора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left"/>
      </w:pPr>
      <w:r>
        <w:rPr>
          <w:rFonts w:ascii="Times New Roman"/>
          <w:b/>
          <w:i w:val="false"/>
          <w:color w:val="000000"/>
        </w:rPr>
        <w:t xml:space="preserve"> 
Таблица 2. Варианты использования. Основной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4654"/>
        <w:gridCol w:w="4614"/>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Подготовка проекта договора о назначении или отказа в назначении жилищной помощи</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получателя государственной услуги о назначении (либо мотивированный ответ об отказе) жилищной помощи</w:t>
            </w:r>
          </w:p>
        </w:tc>
      </w:tr>
    </w:tbl>
    <w:bookmarkStart w:name="z33" w:id="1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4640"/>
        <w:gridCol w:w="4662"/>
      </w:tblGrid>
      <w:tr>
        <w:trPr>
          <w:trHeight w:val="75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92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договора, передача макета личного дела руководителю уполномоченного органа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из центра</w:t>
            </w:r>
          </w:p>
        </w:tc>
      </w:tr>
      <w:tr>
        <w:trPr>
          <w:trHeight w:val="165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Расчет жилищной помощи, подготовка проекта договора, формирование пакета документов, передача на проверку заведующему сектором</w:t>
            </w:r>
          </w:p>
        </w:tc>
      </w:tr>
      <w:tr>
        <w:trPr>
          <w:trHeight w:val="1455"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Составление реестра уведомлений о назначении (отказе в назначении) жилищной помощи и передача в центр</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4620"/>
        <w:gridCol w:w="4682"/>
      </w:tblGrid>
      <w:tr>
        <w:trPr>
          <w:trHeight w:val="69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отдела выдачи документов центра</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365"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Прием уведомлений из накопительного отдела и вручение получателю государственной услуги</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1065"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bl>
    <w:bookmarkStart w:name="z34"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7"/>
    <w:bookmarkStart w:name="z35" w:id="1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 Основной процесс</w:t>
      </w:r>
    </w:p>
    <w:bookmarkEnd w:id="18"/>
    <w:p>
      <w:pPr>
        <w:spacing w:after="0"/>
        <w:ind w:left="0"/>
        <w:jc w:val="both"/>
      </w:pPr>
      <w:r>
        <w:drawing>
          <wp:inline distT="0" distB="0" distL="0" distR="0">
            <wp:extent cx="79883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4406900"/>
                    </a:xfrm>
                    <a:prstGeom prst="rect">
                      <a:avLst/>
                    </a:prstGeom>
                  </pic:spPr>
                </pic:pic>
              </a:graphicData>
            </a:graphic>
          </wp:inline>
        </w:drawing>
      </w:r>
    </w:p>
    <w:bookmarkStart w:name="z36" w:id="19"/>
    <w:p>
      <w:pPr>
        <w:spacing w:after="0"/>
        <w:ind w:left="0"/>
        <w:jc w:val="left"/>
      </w:pPr>
      <w:r>
        <w:rPr>
          <w:rFonts w:ascii="Times New Roman"/>
          <w:b/>
          <w:i w:val="false"/>
          <w:color w:val="000000"/>
        </w:rPr>
        <w:t xml:space="preserve"> 
Процесс оказания государственной услуги.</w:t>
      </w:r>
      <w:r>
        <w:br/>
      </w:r>
      <w:r>
        <w:rPr>
          <w:rFonts w:ascii="Times New Roman"/>
          <w:b/>
          <w:i w:val="false"/>
          <w:color w:val="000000"/>
        </w:rPr>
        <w:t>
Альтернативный процесс</w:t>
      </w:r>
    </w:p>
    <w:bookmarkEnd w:id="19"/>
    <w:p>
      <w:pPr>
        <w:spacing w:after="0"/>
        <w:ind w:left="0"/>
        <w:jc w:val="both"/>
      </w:pPr>
      <w:r>
        <w:drawing>
          <wp:inline distT="0" distB="0" distL="0" distR="0">
            <wp:extent cx="87376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37600" cy="5016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