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06f9" w14:textId="0b30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оказания государственной услуги "Назначение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Улытауского района Карагандинской области от 9 января 2013 года N 01/03. Зарегистрировано Департаментом юстиции Карагандинской области 20 февраля 2013 года N 2173. Утратило силу постановлением акимата Улытауского района Карагандинской области от 20 июня 2013 года N 16/05</w:t>
      </w:r>
    </w:p>
    <w:p>
      <w:pPr>
        <w:spacing w:after="0"/>
        <w:ind w:left="0"/>
        <w:jc w:val="both"/>
      </w:pPr>
      <w:r>
        <w:rPr>
          <w:rFonts w:ascii="Times New Roman"/>
          <w:b w:val="false"/>
          <w:i w:val="false"/>
          <w:color w:val="ff0000"/>
          <w:sz w:val="28"/>
        </w:rPr>
        <w:t>     Сноска. Утратило силу постановлением акимата Улытауского района Карагандинской области от 20.06.2013 N 16/05.</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в целях качественного предоставления государственных услуг, акимат Улытауского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оказания государственной услуги "Назначение жилищной помощи".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Акышбекова Берика Базыловича.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Аким района                                А. Омаров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Улытауского района</w:t>
      </w:r>
      <w:r>
        <w:br/>
      </w:r>
      <w:r>
        <w:rPr>
          <w:rFonts w:ascii="Times New Roman"/>
          <w:b w:val="false"/>
          <w:i w:val="false"/>
          <w:color w:val="000000"/>
          <w:sz w:val="28"/>
        </w:rPr>
        <w:t>
от 9 января 2013 года</w:t>
      </w:r>
      <w:r>
        <w:br/>
      </w:r>
      <w:r>
        <w:rPr>
          <w:rFonts w:ascii="Times New Roman"/>
          <w:b w:val="false"/>
          <w:i w:val="false"/>
          <w:color w:val="000000"/>
          <w:sz w:val="28"/>
        </w:rPr>
        <w:t>
N 01/03</w:t>
      </w:r>
    </w:p>
    <w:bookmarkEnd w:id="1"/>
    <w:bookmarkStart w:name="z6" w:id="2"/>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"Назначение жилищной помощи"</w:t>
      </w:r>
    </w:p>
    <w:bookmarkEnd w:id="2"/>
    <w:bookmarkStart w:name="z7" w:id="3"/>
    <w:p>
      <w:pPr>
        <w:spacing w:after="0"/>
        <w:ind w:left="0"/>
        <w:jc w:val="left"/>
      </w:pPr>
      <w:r>
        <w:rPr>
          <w:rFonts w:ascii="Times New Roman"/>
          <w:b/>
          <w:i w:val="false"/>
          <w:color w:val="000000"/>
        </w:rPr>
        <w:t xml:space="preserve"> 
1. Основные понятия</w:t>
      </w:r>
    </w:p>
    <w:bookmarkEnd w:id="3"/>
    <w:bookmarkStart w:name="z8" w:id="4"/>
    <w:p>
      <w:pPr>
        <w:spacing w:after="0"/>
        <w:ind w:left="0"/>
        <w:jc w:val="both"/>
      </w:pPr>
      <w:r>
        <w:rPr>
          <w:rFonts w:ascii="Times New Roman"/>
          <w:b w:val="false"/>
          <w:i w:val="false"/>
          <w:color w:val="000000"/>
          <w:sz w:val="28"/>
        </w:rPr>
        <w:t>
      1. В настоящем Регламенте оказания государственной услуги "Назначение жилищной помощи" (далее - Регламент) используются следующие основные понятия:</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2) государственная услуга оказывается физическим лицам: малообеспеченным семьям (гражданам), постоянно проживающим в данной местности, имеющим право на получение жилищной помощи (далее – получатель государственной услуги);</w:t>
      </w:r>
      <w:r>
        <w:br/>
      </w:r>
      <w:r>
        <w:rPr>
          <w:rFonts w:ascii="Times New Roman"/>
          <w:b w:val="false"/>
          <w:i w:val="false"/>
          <w:color w:val="000000"/>
          <w:sz w:val="28"/>
        </w:rPr>
        <w:t>
      3) уполномоченный орган по назначению и выплате жилищной помощи – государственное учреждение "Отдел занятости и социальных программ Улытауского района" (далее – уполномоченный орган);</w:t>
      </w:r>
      <w:r>
        <w:br/>
      </w:r>
      <w:r>
        <w:rPr>
          <w:rFonts w:ascii="Times New Roman"/>
          <w:b w:val="false"/>
          <w:i w:val="false"/>
          <w:color w:val="000000"/>
          <w:sz w:val="28"/>
        </w:rPr>
        <w:t>
      4) жилищная помощь - пособие, предоставляемое государством малообеспеченным семьям (гражданам), постоянно проживающим в городе Балхаш, для частичного возмещения затрат на оплату расходов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том случае, если сумма указанных расходов в пределах норм, обеспечиваемых компенсационными мерами, в бюджете семьи превышает установленную долю предельно допустимых расходов;</w:t>
      </w:r>
      <w:r>
        <w:br/>
      </w:r>
      <w:r>
        <w:rPr>
          <w:rFonts w:ascii="Times New Roman"/>
          <w:b w:val="false"/>
          <w:i w:val="false"/>
          <w:color w:val="000000"/>
          <w:sz w:val="28"/>
        </w:rPr>
        <w:t>
      5) центр обслуживания населения – "Отдел Улытауского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4"/>
    <w:bookmarkStart w:name="z9" w:id="5"/>
    <w:p>
      <w:pPr>
        <w:spacing w:after="0"/>
        <w:ind w:left="0"/>
        <w:jc w:val="left"/>
      </w:pPr>
      <w:r>
        <w:rPr>
          <w:rFonts w:ascii="Times New Roman"/>
          <w:b/>
          <w:i w:val="false"/>
          <w:color w:val="000000"/>
        </w:rPr>
        <w:t xml:space="preserve"> 
2. Общие положения</w:t>
      </w:r>
    </w:p>
    <w:bookmarkEnd w:id="5"/>
    <w:bookmarkStart w:name="z10" w:id="6"/>
    <w:p>
      <w:pPr>
        <w:spacing w:after="0"/>
        <w:ind w:left="0"/>
        <w:jc w:val="both"/>
      </w:pPr>
      <w:r>
        <w:rPr>
          <w:rFonts w:ascii="Times New Roman"/>
          <w:b w:val="false"/>
          <w:i w:val="false"/>
          <w:color w:val="000000"/>
          <w:sz w:val="28"/>
        </w:rPr>
        <w:t>
      2. Государственная услуга "Назначение жилищной помощи" - административная процедура, осуществляемая уполномоченным органом в целях оказания помощи в денежной форме малообеспеченным семьям (гражданам) для частичного возмещения затрат на оплату расходов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установленных социальных норм.</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предоставляют уполномоченный орган и центр обслуживания населения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оказывается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главы 2</w:t>
      </w:r>
      <w:r>
        <w:rPr>
          <w:rFonts w:ascii="Times New Roman"/>
          <w:b w:val="false"/>
          <w:i w:val="false"/>
          <w:color w:val="000000"/>
          <w:sz w:val="28"/>
        </w:rPr>
        <w:t xml:space="preserve"> "Правил предоставления жилищной помощи", утвержденных постановлением Правительства Республики Казахстан от 30 декабря 2009 года N 2314,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и решений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(далее - уведомление) либо мотивированный ответ об отказе в предоставлении государственной услуги на бумажном носителе.</w:t>
      </w:r>
    </w:p>
    <w:bookmarkEnd w:id="6"/>
    <w:bookmarkStart w:name="z15"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16" w:id="8"/>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101500, Карагандинская область, Улытауский район, село Улытау, улица Абая 23, государственное учреждение "Отдел занятости и социальных программ Улытауского района", телефон: 8 (71035) 21212, факс: 8 (71035) 21207, адрес электронной почты: ulytau_sobes@mail.ru.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Центр, адрес: 101500, Карагандинская область, Улытауский район, село Улытау, улица Амангелды 29 а, "Отдел Улытауского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телефон: 8 (71035) 21624, факс: 8 (71035) 21306, адрес электронной почты: renat_ulytau@mail.ru.</w:t>
      </w:r>
      <w:r>
        <w:br/>
      </w:r>
      <w:r>
        <w:rPr>
          <w:rFonts w:ascii="Times New Roman"/>
          <w:b w:val="false"/>
          <w:i w:val="false"/>
          <w:color w:val="000000"/>
          <w:sz w:val="28"/>
        </w:rPr>
        <w:t>
      График работы: ежедневно с понедельника по субботу включительно, за исключением воскресенья и праздничных дней, в соответствии с установленным графиком работы центров с 9.00 до 20.00 часов, без перерыва на обед.</w:t>
      </w:r>
      <w:r>
        <w:br/>
      </w:r>
      <w:r>
        <w:rPr>
          <w:rFonts w:ascii="Times New Roman"/>
          <w:b w:val="false"/>
          <w:i w:val="false"/>
          <w:color w:val="000000"/>
          <w:sz w:val="28"/>
        </w:rPr>
        <w:t>
      В центре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располагается на интернет-ресурсе государственного учреждения "Отдел занятости и социальных программ Улытауского района" http://www.ulytau-akimat.kz, на стендах уполномоченного органа, центра,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уполномоченном органе – в течение десяти календарных дней;</w:t>
      </w:r>
      <w:r>
        <w:br/>
      </w:r>
      <w:r>
        <w:rPr>
          <w:rFonts w:ascii="Times New Roman"/>
          <w:b w:val="false"/>
          <w:i w:val="false"/>
          <w:color w:val="000000"/>
          <w:sz w:val="28"/>
        </w:rPr>
        <w:t>
      в центре – в течение десяти календарных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в очереди при сдаче необходимых документов - не более 20 минут;</w:t>
      </w:r>
      <w:r>
        <w:br/>
      </w:r>
      <w:r>
        <w:rPr>
          <w:rFonts w:ascii="Times New Roman"/>
          <w:b w:val="false"/>
          <w:i w:val="false"/>
          <w:color w:val="000000"/>
          <w:sz w:val="28"/>
        </w:rPr>
        <w:t>
      3) максимально допустимое время обслуживание получателя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4) максимально допустимое время ожидания в очереди при получении необходимых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10.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Уполномоченный орган при выявлении ошибок в оформлении документов, поступающих из центра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в течение 3 (трех) рабочих дней (день приема и выдачи документов не входит в срок оказания государственной услуги) после получения пакета документов возвращает их в центр с письменным обоснованием причин возврата.</w:t>
      </w:r>
      <w:r>
        <w:br/>
      </w:r>
      <w:r>
        <w:rPr>
          <w:rFonts w:ascii="Times New Roman"/>
          <w:b w:val="false"/>
          <w:i w:val="false"/>
          <w:color w:val="000000"/>
          <w:sz w:val="28"/>
        </w:rPr>
        <w:t>
      После получения пакета документов центр информирует получателя государственной услуги в течение 1 (одного) рабочего дня и выдает письменные обоснования уполномоченного органа о причине возврата.</w:t>
      </w:r>
      <w:r>
        <w:br/>
      </w:r>
      <w:r>
        <w:rPr>
          <w:rFonts w:ascii="Times New Roman"/>
          <w:b w:val="false"/>
          <w:i w:val="false"/>
          <w:color w:val="000000"/>
          <w:sz w:val="28"/>
        </w:rPr>
        <w:t>
      В случае отказа, должностное лицо уполномоченного органа или работник центра информирует получателя государственной услуги в течение 1 (одного) рабочего дня и выдает письменные обоснования уполномоченного органа о причине отказа.</w:t>
      </w:r>
      <w:r>
        <w:br/>
      </w:r>
      <w:r>
        <w:rPr>
          <w:rFonts w:ascii="Times New Roman"/>
          <w:b w:val="false"/>
          <w:i w:val="false"/>
          <w:color w:val="000000"/>
          <w:sz w:val="28"/>
        </w:rPr>
        <w:t>
      Основания для приостановления оказания государственной услуги определяются решениями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получателя государственной услуги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получатель государственной услуги подает заявление в уполномоченный орган или в центр;</w:t>
      </w:r>
      <w:r>
        <w:br/>
      </w:r>
      <w:r>
        <w:rPr>
          <w:rFonts w:ascii="Times New Roman"/>
          <w:b w:val="false"/>
          <w:i w:val="false"/>
          <w:color w:val="000000"/>
          <w:sz w:val="28"/>
        </w:rPr>
        <w:t>
      2) центр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регистрирует документы, рассматривает и принимает решение о назначении (отказе в назначении) жилищной помощи, оформляет уведомление о назначении либо мотивированный ответ об отказе.</w:t>
      </w:r>
    </w:p>
    <w:bookmarkEnd w:id="8"/>
    <w:bookmarkStart w:name="z21" w:id="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
    <w:bookmarkStart w:name="z22" w:id="10"/>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Прием документов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получателю государственной услуге выдается:</w:t>
      </w:r>
      <w:r>
        <w:br/>
      </w:r>
      <w:r>
        <w:rPr>
          <w:rFonts w:ascii="Times New Roman"/>
          <w:b w:val="false"/>
          <w:i w:val="false"/>
          <w:color w:val="000000"/>
          <w:sz w:val="28"/>
        </w:rPr>
        <w:t>
      1) в уполномоченном органе - талон с указанием даты регистрации, места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заявление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1) в уполномоченный орган:</w:t>
      </w:r>
      <w:r>
        <w:br/>
      </w:r>
      <w:r>
        <w:rPr>
          <w:rFonts w:ascii="Times New Roman"/>
          <w:b w:val="false"/>
          <w:i w:val="false"/>
          <w:color w:val="000000"/>
          <w:sz w:val="28"/>
        </w:rPr>
        <w:t>
      копию документа, удостоверяющего личность получателя государственной услуги – физического лица;</w:t>
      </w:r>
      <w:r>
        <w:br/>
      </w:r>
      <w:r>
        <w:rPr>
          <w:rFonts w:ascii="Times New Roman"/>
          <w:b w:val="false"/>
          <w:i w:val="false"/>
          <w:color w:val="000000"/>
          <w:sz w:val="28"/>
        </w:rPr>
        <w:t>
      копию правоустанавливающего документа на жилище;</w:t>
      </w:r>
      <w:r>
        <w:br/>
      </w:r>
      <w:r>
        <w:rPr>
          <w:rFonts w:ascii="Times New Roman"/>
          <w:b w:val="false"/>
          <w:i w:val="false"/>
          <w:color w:val="000000"/>
          <w:sz w:val="28"/>
        </w:rPr>
        <w:t>
      копию книги регистрации граждан;</w:t>
      </w:r>
      <w:r>
        <w:br/>
      </w:r>
      <w:r>
        <w:rPr>
          <w:rFonts w:ascii="Times New Roman"/>
          <w:b w:val="false"/>
          <w:i w:val="false"/>
          <w:color w:val="000000"/>
          <w:sz w:val="28"/>
        </w:rPr>
        <w:t>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счета о размерах ежемесячных взносов на содержание жилого дома (жилого здания);</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2) в центр:</w:t>
      </w:r>
      <w:r>
        <w:br/>
      </w:r>
      <w:r>
        <w:rPr>
          <w:rFonts w:ascii="Times New Roman"/>
          <w:b w:val="false"/>
          <w:i w:val="false"/>
          <w:color w:val="000000"/>
          <w:sz w:val="28"/>
        </w:rPr>
        <w:t>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счета о размерах ежемесячных взносов на содержание жилого дома (жилого здания);</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сведения документа, удостоверяющего личность получателя государственной услуги;</w:t>
      </w:r>
      <w:r>
        <w:br/>
      </w:r>
      <w:r>
        <w:rPr>
          <w:rFonts w:ascii="Times New Roman"/>
          <w:b w:val="false"/>
          <w:i w:val="false"/>
          <w:color w:val="000000"/>
          <w:sz w:val="28"/>
        </w:rPr>
        <w:t>
      правоустанавливающие документы на жилище;</w:t>
      </w:r>
      <w:r>
        <w:br/>
      </w:r>
      <w:r>
        <w:rPr>
          <w:rFonts w:ascii="Times New Roman"/>
          <w:b w:val="false"/>
          <w:i w:val="false"/>
          <w:color w:val="000000"/>
          <w:sz w:val="28"/>
        </w:rPr>
        <w:t>
      сведения о регистрации граждан (адресная справка).</w:t>
      </w:r>
      <w:r>
        <w:br/>
      </w:r>
      <w:r>
        <w:rPr>
          <w:rFonts w:ascii="Times New Roman"/>
          <w:b w:val="false"/>
          <w:i w:val="false"/>
          <w:color w:val="000000"/>
          <w:sz w:val="28"/>
        </w:rPr>
        <w:t>
      Исчерпывающий перечень документов, необходимых для получения государственной услуги определяется решением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14. Предоставляемые получателем государственной услуги сведения являются конфиденциальными, за исключением случаев, предусматривающих предоставление сведений уполномоченным органом в порядке, установленном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борьбе с коррупцией" от 2 июля 1998 года,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9 Закона Республики Казахстан "О государственной службе" от 23 июля 1999 года.</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назначения и выплаты социальных пособий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сектора назначения и выплаты социальных пособий уполномоченного органа (далее – специалист сектора уполномоченного органа) (СФЕ 3).</w:t>
      </w:r>
      <w:r>
        <w:br/>
      </w:r>
      <w:r>
        <w:rPr>
          <w:rFonts w:ascii="Times New Roman"/>
          <w:b w:val="false"/>
          <w:i w:val="false"/>
          <w:color w:val="000000"/>
          <w:sz w:val="28"/>
        </w:rPr>
        <w:t>
      В альтернативном процессе оказания государственной услуги участвуют:</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назначения и выплаты социальных пособий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сектора назначения и выплаты социальных пособий уполномоченного органа (далее – специалист сектора уполномоченного органа) (СФЕ 3);</w:t>
      </w:r>
      <w:r>
        <w:br/>
      </w:r>
      <w:r>
        <w:rPr>
          <w:rFonts w:ascii="Times New Roman"/>
          <w:b w:val="false"/>
          <w:i w:val="false"/>
          <w:color w:val="000000"/>
          <w:sz w:val="28"/>
        </w:rPr>
        <w:t>
      4) инспектор отдела выдачи документов центра (СФЕ 4);</w:t>
      </w:r>
      <w:r>
        <w:br/>
      </w:r>
      <w:r>
        <w:rPr>
          <w:rFonts w:ascii="Times New Roman"/>
          <w:b w:val="false"/>
          <w:i w:val="false"/>
          <w:color w:val="000000"/>
          <w:sz w:val="28"/>
        </w:rPr>
        <w:t>
      5) инспектор накопительного отдела центра (СФЕ 5);</w:t>
      </w:r>
      <w:r>
        <w:br/>
      </w:r>
      <w:r>
        <w:rPr>
          <w:rFonts w:ascii="Times New Roman"/>
          <w:b w:val="false"/>
          <w:i w:val="false"/>
          <w:color w:val="000000"/>
          <w:sz w:val="28"/>
        </w:rPr>
        <w:t>
      6) инспектор центра (СФЕ 6).</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N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10"/>
    <w:bookmarkStart w:name="z28" w:id="11"/>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11"/>
    <w:bookmarkStart w:name="z29" w:id="12"/>
    <w:p>
      <w:pPr>
        <w:spacing w:after="0"/>
        <w:ind w:left="0"/>
        <w:jc w:val="both"/>
      </w:pPr>
      <w:r>
        <w:rPr>
          <w:rFonts w:ascii="Times New Roman"/>
          <w:b w:val="false"/>
          <w:i w:val="false"/>
          <w:color w:val="000000"/>
          <w:sz w:val="28"/>
        </w:rPr>
        <w:t>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2"/>
    <w:bookmarkStart w:name="z30"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жилищной помощи"</w:t>
      </w:r>
    </w:p>
    <w:bookmarkEnd w:id="13"/>
    <w:bookmarkStart w:name="z31" w:id="14"/>
    <w:p>
      <w:pPr>
        <w:spacing w:after="0"/>
        <w:ind w:left="0"/>
        <w:jc w:val="left"/>
      </w:pPr>
      <w:r>
        <w:rPr>
          <w:rFonts w:ascii="Times New Roman"/>
          <w:b/>
          <w:i w:val="false"/>
          <w:color w:val="000000"/>
        </w:rPr>
        <w:t xml:space="preserve"> 
Таблица 1. Описание действий структурно-функциональных единиц</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3064"/>
        <w:gridCol w:w="3064"/>
        <w:gridCol w:w="3064"/>
        <w:gridCol w:w="4256"/>
      </w:tblGrid>
      <w:tr>
        <w:trPr>
          <w:trHeight w:val="5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0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сектора уполномоченного органа</w:t>
            </w:r>
          </w:p>
        </w:tc>
      </w:tr>
      <w:tr>
        <w:trPr>
          <w:trHeight w:val="291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жилищной помощи</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на предоставление жилищной помощи, выдает получателю государственной услуги талон о принятии документов с указанием номера регистрации и даты приема документов</w:t>
            </w:r>
          </w:p>
        </w:tc>
      </w:tr>
      <w:tr>
        <w:trPr>
          <w:trHeight w:val="675"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и выдача талона получателю государственной услуги</w:t>
            </w:r>
          </w:p>
        </w:tc>
      </w:tr>
      <w:tr>
        <w:trPr>
          <w:trHeight w:val="165"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193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жилищной помощи</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делает расчет назначения жилищной помощи и готовит проект договора о назначении или отказ в назначении жилищной помощи</w:t>
            </w:r>
          </w:p>
        </w:tc>
      </w:tr>
      <w:tr>
        <w:trPr>
          <w:trHeight w:val="675"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получателя государственной услуги</w:t>
            </w:r>
          </w:p>
        </w:tc>
      </w:tr>
      <w:tr>
        <w:trPr>
          <w:trHeight w:val="375"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календарных дней</w:t>
            </w:r>
          </w:p>
        </w:tc>
      </w:tr>
      <w:tr>
        <w:trPr>
          <w:trHeight w:val="283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договора и передает макет личного дела руководителю уполномоченного органа</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Завизированный макет личного дела получателя государственной услуги</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3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договор или оформляет отказ в предоставлении жилищной помощи и передает дело специалисту сектора для дальнейшей работы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получателя государственной услуги с подписанным договором, подлежащим исполнению или об отказе в предоставлении жилищной помощи</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Уведомляет потребителя услуги о назначении (отказе в назначении) жилищной помощи</w:t>
            </w:r>
          </w:p>
        </w:tc>
      </w:tr>
      <w:tr>
        <w:trPr>
          <w:trHeight w:val="48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255"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092"/>
        <w:gridCol w:w="3387"/>
        <w:gridCol w:w="3324"/>
        <w:gridCol w:w="3621"/>
      </w:tblGrid>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0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сектора уполномоченного органа</w:t>
            </w:r>
          </w:p>
        </w:tc>
      </w:tr>
      <w:tr>
        <w:trPr>
          <w:trHeight w:val="84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жилищной помощи</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документов в уполномоченный орган</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и регистрации документов для назначения жилищной помощи</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реестру принимает из центра заявления со всеми необходимыми документами и регистрирует в журнале учета заявлений для назначения жилищной помощи</w:t>
            </w:r>
          </w:p>
        </w:tc>
      </w:tr>
      <w:tr>
        <w:trPr>
          <w:trHeight w:val="60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заявлений в журнале</w:t>
            </w:r>
          </w:p>
        </w:tc>
      </w:tr>
      <w:tr>
        <w:trPr>
          <w:trHeight w:val="18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223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жилищной помощи</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делает расчет назначения жилищной помощи и готовит проект договора о назначении или отказа в назначении жилищной помощи</w:t>
            </w:r>
          </w:p>
        </w:tc>
      </w:tr>
      <w:tr>
        <w:trPr>
          <w:trHeight w:val="735"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получателя жилищной помощи</w:t>
            </w:r>
          </w:p>
        </w:tc>
      </w:tr>
      <w:tr>
        <w:trPr>
          <w:trHeight w:val="15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календарных дней</w:t>
            </w:r>
          </w:p>
        </w:tc>
      </w:tr>
      <w:tr>
        <w:trPr>
          <w:trHeight w:val="252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договора и передает макет личного дела руководителю уполномоченного органа</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получателя жилищной помощи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договор или оформляет отказ в предоставлении жилищной помощи и передает дело специалисту сектора для дальнейшей работы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получателю государственной услуги жилищной помощи с подписанным договором, подлежащим исполнению или отказом в предоставлении жилищной помощи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уведомлений в центр</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уведомления об оформлении (либо мотивированный ответ об отказе) документов для назначения жилищной помощи в центр</w:t>
            </w:r>
          </w:p>
        </w:tc>
      </w:tr>
      <w:tr>
        <w:trPr>
          <w:trHeight w:val="60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18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r>
      <w:tr>
        <w:trPr>
          <w:trHeight w:val="81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уведомлений из уполномоченного органа</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3087"/>
        <w:gridCol w:w="3235"/>
        <w:gridCol w:w="3277"/>
        <w:gridCol w:w="3846"/>
      </w:tblGrid>
      <w:tr>
        <w:trPr>
          <w:trHeight w:val="2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8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накопительного сектора центра</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Инспектор центра</w:t>
            </w:r>
          </w:p>
        </w:tc>
      </w:tr>
      <w:tr>
        <w:trPr>
          <w:trHeight w:val="157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жилищной помощи</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и выдает получателю государственной услуги расписку</w:t>
            </w:r>
          </w:p>
        </w:tc>
      </w:tr>
      <w:tr>
        <w:trPr>
          <w:trHeight w:val="1065"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получателю государственной услуги расписки</w:t>
            </w:r>
          </w:p>
        </w:tc>
      </w:tr>
      <w:tr>
        <w:trPr>
          <w:trHeight w:val="105"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150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передачи документов в уполномоченный орган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от инспектора, составление реестра, передача документов в уполномоченный орган</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накопительный сектор центра</w:t>
            </w:r>
          </w:p>
        </w:tc>
      </w:tr>
      <w:tr>
        <w:trPr>
          <w:trHeight w:val="27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и регистрации документов для назначения жилищной помощи</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жилищной помощи</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уведомлений в центр</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уведомлений из уполномоченного органа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сектор выдачи документов</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уведомления либо мотивированный ответ об отказе из накопительного сектора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left"/>
      </w:pPr>
      <w:r>
        <w:rPr>
          <w:rFonts w:ascii="Times New Roman"/>
          <w:b/>
          <w:i w:val="false"/>
          <w:color w:val="000000"/>
        </w:rPr>
        <w:t xml:space="preserve"> 
Таблица 2. Варианты использования. Основной процесс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2"/>
        <w:gridCol w:w="4654"/>
        <w:gridCol w:w="4614"/>
      </w:tblGrid>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сектора уполномоченного органа</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Подписание договора о предоставлении государственной услуги (либо мотивированный ответ об отказе)</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визирование</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регистрационного талона</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Подготовка проекта договора о назначении или отказа в назначении жилищной помощи</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Уведомление получателя государственной услуги о назначении (либо мотивированный ответ об отказе) жилищной помощи</w:t>
            </w:r>
          </w:p>
        </w:tc>
      </w:tr>
    </w:tbl>
    <w:bookmarkStart w:name="z33" w:id="16"/>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8"/>
        <w:gridCol w:w="4640"/>
        <w:gridCol w:w="4662"/>
      </w:tblGrid>
      <w:tr>
        <w:trPr>
          <w:trHeight w:val="75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сектора уполномоченного органа</w:t>
            </w:r>
          </w:p>
        </w:tc>
      </w:tr>
      <w:tr>
        <w:trPr>
          <w:trHeight w:val="192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Подписание договора о предоставлении государственной услуги (либо мотивированный ответ об отказе)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визирование проекта договора, передача макета личного дела руководителю уполномоченного органа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Прием и регистрация документов из центра</w:t>
            </w:r>
          </w:p>
        </w:tc>
      </w:tr>
      <w:tr>
        <w:trPr>
          <w:trHeight w:val="165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Расчет жилищной помощи, подготовка проекта договора, формирование пакета документов, передача на проверку заведующему сектором</w:t>
            </w:r>
          </w:p>
        </w:tc>
      </w:tr>
      <w:tr>
        <w:trPr>
          <w:trHeight w:val="1455"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Составление реестра уведомлений о назначении (отказе в назначении) жилищной помощи и передача в центр</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8"/>
        <w:gridCol w:w="4620"/>
        <w:gridCol w:w="4682"/>
      </w:tblGrid>
      <w:tr>
        <w:trPr>
          <w:trHeight w:val="69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Инспектор отдела выдачи документов центра</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накопительного отдела центра</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Инспектор центра</w:t>
            </w:r>
          </w:p>
        </w:tc>
      </w:tr>
      <w:tr>
        <w:trPr>
          <w:trHeight w:val="1365"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w:t>
            </w:r>
            <w:r>
              <w:rPr>
                <w:rFonts w:ascii="Times New Roman"/>
                <w:b w:val="false"/>
                <w:i w:val="false"/>
                <w:color w:val="000000"/>
                <w:sz w:val="20"/>
              </w:rPr>
              <w:t>Прием уведомлений из накопительного отдела и вручение получателю государственной услуги</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Прием документов от инспектора, составление реестра, передача документов в уполномоченный орган</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расписки</w:t>
            </w:r>
          </w:p>
        </w:tc>
      </w:tr>
      <w:tr>
        <w:trPr>
          <w:trHeight w:val="1065"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Прием уведомления либо мотивированного ответа об отказе и передача в сектор выдачи документов</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Передача документов в накопительный сектор центра</w:t>
            </w:r>
          </w:p>
        </w:tc>
      </w:tr>
    </w:tbl>
    <w:bookmarkStart w:name="z34" w:id="1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жилищной помощи"</w:t>
      </w:r>
    </w:p>
    <w:bookmarkEnd w:id="17"/>
    <w:bookmarkStart w:name="z35" w:id="18"/>
    <w:p>
      <w:pPr>
        <w:spacing w:after="0"/>
        <w:ind w:left="0"/>
        <w:jc w:val="left"/>
      </w:pPr>
      <w:r>
        <w:rPr>
          <w:rFonts w:ascii="Times New Roman"/>
          <w:b/>
          <w:i w:val="false"/>
          <w:color w:val="000000"/>
        </w:rPr>
        <w:t xml:space="preserve"> 
Схемы функционального взаимодействия.</w:t>
      </w:r>
      <w:r>
        <w:br/>
      </w:r>
      <w:r>
        <w:rPr>
          <w:rFonts w:ascii="Times New Roman"/>
          <w:b/>
          <w:i w:val="false"/>
          <w:color w:val="000000"/>
        </w:rPr>
        <w:t>
Процесс оказания государственной услуги. Основной процесс</w:t>
      </w:r>
    </w:p>
    <w:bookmarkEnd w:id="18"/>
    <w:p>
      <w:pPr>
        <w:spacing w:after="0"/>
        <w:ind w:left="0"/>
        <w:jc w:val="both"/>
      </w:pPr>
      <w:r>
        <w:drawing>
          <wp:inline distT="0" distB="0" distL="0" distR="0">
            <wp:extent cx="79883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88300" cy="4406900"/>
                    </a:xfrm>
                    <a:prstGeom prst="rect">
                      <a:avLst/>
                    </a:prstGeom>
                  </pic:spPr>
                </pic:pic>
              </a:graphicData>
            </a:graphic>
          </wp:inline>
        </w:drawing>
      </w:r>
    </w:p>
    <w:bookmarkStart w:name="z36" w:id="19"/>
    <w:p>
      <w:pPr>
        <w:spacing w:after="0"/>
        <w:ind w:left="0"/>
        <w:jc w:val="left"/>
      </w:pPr>
      <w:r>
        <w:rPr>
          <w:rFonts w:ascii="Times New Roman"/>
          <w:b/>
          <w:i w:val="false"/>
          <w:color w:val="000000"/>
        </w:rPr>
        <w:t xml:space="preserve"> 
Процесс оказания государственной услуги.</w:t>
      </w:r>
      <w:r>
        <w:br/>
      </w:r>
      <w:r>
        <w:rPr>
          <w:rFonts w:ascii="Times New Roman"/>
          <w:b/>
          <w:i w:val="false"/>
          <w:color w:val="000000"/>
        </w:rPr>
        <w:t>
Альтернативный процесс</w:t>
      </w:r>
    </w:p>
    <w:bookmarkEnd w:id="19"/>
    <w:p>
      <w:pPr>
        <w:spacing w:after="0"/>
        <w:ind w:left="0"/>
        <w:jc w:val="both"/>
      </w:pPr>
      <w:r>
        <w:drawing>
          <wp:inline distT="0" distB="0" distL="0" distR="0">
            <wp:extent cx="87376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37600" cy="5016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