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0c70" w14:textId="de00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11 декабря 2013 года № 17/111. Зарегистрировано Департаментом юстиции Мангистауской области 06 января 2014 года № 2330.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Тупкараганский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48/355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Тупкараганского районного маслихата Мангистауской области от 20.07.2018 </w:t>
      </w:r>
      <w:r>
        <w:rPr>
          <w:rFonts w:ascii="Times New Roman"/>
          <w:b w:val="false"/>
          <w:i w:val="false"/>
          <w:color w:val="000000"/>
          <w:sz w:val="28"/>
        </w:rPr>
        <w:t>№ 22/193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Абдырахманов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Жарылгапова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17/111</w:t>
            </w:r>
          </w:p>
        </w:tc>
      </w:tr>
    </w:tbl>
    <w:bookmarkStart w:name="z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Тупкараганского районного маслихата Мангистауской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48/355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памятные даты - события, имеющие общенародное историческое, духовное и культурное значение и оказавшие влияние на ход истории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Мангистауской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ситуация, объективно нарушающая жизнедеятельность гражданина, которую он не может преодолеть самостоятельно;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финансируемый за счет местного бюджета, осуществляющий оказание социальной помощи - государственное учреждение "Тупкараганский районный отдел занятости, социальных программ и регистрации актов гражданского состояния" (далее - уполномоченный орган);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Тупкараганского района филиала некоммерческого акционерного общества "Государственная корпорация "Правительство для граждан" по Мангистауской области;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решением Тупкараганского районного маслихата Мангистауской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Тупкараганского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000000"/>
          <w:sz w:val="28"/>
        </w:rPr>
        <w:t>№ 31/210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08.07.2016 </w:t>
      </w:r>
      <w:r>
        <w:rPr>
          <w:rFonts w:ascii="Times New Roman"/>
          <w:b w:val="false"/>
          <w:i w:val="false"/>
          <w:color w:val="000000"/>
          <w:sz w:val="28"/>
        </w:rPr>
        <w:t>№ 4/32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03.10.2016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12.12.2018 </w:t>
      </w:r>
      <w:r>
        <w:rPr>
          <w:rFonts w:ascii="Times New Roman"/>
          <w:b w:val="false"/>
          <w:i w:val="false"/>
          <w:color w:val="000000"/>
          <w:sz w:val="28"/>
        </w:rPr>
        <w:t>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постоянно проживающих в административно - территориальной единице, принадлежащей к Тупкараганскому району.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настоящих Правил под социальной помощью понимается помощь, предоставляемая уполномоченным органом отдельным категориям нуждающихся граждан (далее – получателям) в случае наступления трудной жизненной ситуации, а также к памятным датам и праздничным дням.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Тупкараганского районного маслихата Мангистауской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48/355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Мангистауской области.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Основания, по которым лицо (семья) может быть признано находящимся в трудной жизненной ситуации: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 (семья) может быть признано находящимся в трудной жизненной ситуации по следующим основаниям: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 исполнительной инспекции;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малообеспеченность.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определения перечня категорий получателей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помощи и установления размеров социальной помощи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к памятным датам и праздничным дням предоставляется без учета дохода, единовременно, в следующих размерах: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21-23 марта - Праздник Наурыз:</w:t>
      </w:r>
    </w:p>
    <w:bookmarkEnd w:id="37"/>
    <w:bookmarkStart w:name="z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удостоенным ранее звания "Мать героиня", награжденным орденами "Материнская слава" первой и второй степени - 2 (два) месячных расчетных показателей;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аварии на Чернобыльской атомной электростанции:</w:t>
      </w:r>
    </w:p>
    <w:bookmarkEnd w:id="40"/>
    <w:bookmarkStart w:name="z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40 (сорок) месячных расчетных показателей;</w:t>
      </w:r>
    </w:p>
    <w:bookmarkEnd w:id="41"/>
    <w:bookmarkStart w:name="z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40 (сорок) месячных расчетных показателей;</w:t>
      </w:r>
    </w:p>
    <w:bookmarkEnd w:id="42"/>
    <w:bookmarkStart w:name="z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атомной электростанции - 60 (шестьдесят) месячных расчетных показателей;</w:t>
      </w:r>
    </w:p>
    <w:bookmarkEnd w:id="43"/>
    <w:bookmarkStart w:name="z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атомной электростанции в 1986-1987 годах - 50 (пятьдесят) месячных расчетных показателей;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атомной электростанции в 1988-1989 годах - 20 (двадцать) месячных расчетных показателей;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9 мая – День Победы:</w:t>
      </w:r>
    </w:p>
    <w:bookmarkEnd w:id="46"/>
    <w:bookmarkStart w:name="z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100 (сто) месячных расчетных показателей;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к инвалидам Великой Отечественной войны (кроме лиц, ставших инвалидами вследствие ликвидации аварии на Чернобыльской атомной электро станции) – в размере 60 (шестьдесят) месячных расчетных показателей;</w:t>
      </w:r>
    </w:p>
    <w:bookmarkStart w:name="z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к участникам Великой Отечественной войны (кроме участников ликвидации аварии на Чернобыльской атомной электро станции в 1986–1987 годах) – в размере 50 (пятьдесят) месячных расчетных показателей;</w:t>
      </w:r>
    </w:p>
    <w:bookmarkEnd w:id="48"/>
    <w:bookmarkStart w:name="z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</w:p>
    <w:bookmarkEnd w:id="49"/>
    <w:bookmarkStart w:name="z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 – в размере 40 (сорок) месячных расчетных показателей;</w:t>
      </w:r>
    </w:p>
    <w:bookmarkEnd w:id="50"/>
    <w:bookmarkStart w:name="z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40 (сорок) месячных расчетных показателей;</w:t>
      </w:r>
    </w:p>
    <w:bookmarkEnd w:id="51"/>
    <w:bookmarkStart w:name="z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службы, службы в мирное время – в размере 40 (сорок) месячных расчетных показателей;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(супруг) умершего инвалида Великой Отечественной войны или лица, приравненного по льготам к инвалидам Великой Отечественной войны, а также супругам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40 (сорок) месячных расчетных показателей;</w:t>
      </w:r>
    </w:p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– День Конституции Республики Казахстан: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8 (восемь) месячных расчетных показателей;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Международный день пожилых людей: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лет – 2 (два) месячных расчетных показателей;</w:t>
      </w:r>
    </w:p>
    <w:bookmarkEnd w:id="57"/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октября – День инвалидов в Республике Казахстан: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мая - Праздник единства народов Казахстана: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июня - День защиты детей: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 и детям-инвалидам с шестнадцати до восемнадцати лет - первой, второй, третьей групп - 5 (пять) месячных расчетных показателей;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- День Независимости Республики Казахстан: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инвалидам с шестнадцати до восемнадцати лет - первой, второй, третьей групп - 5 (пять) месячных расчетных показателей;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Тупкараганского районного маслихата Мангистауской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29 августа - День отказа от всемирного ядерного оружия: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относящимся к пострадавшим вследствие ядерных испытаний на Семипалатинском испытательном ядерном полигоне в случае предъявления удостоверения, подтверждающего право на льготы и компенcаций - 10 (десять) месячных расчетных показателей.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дополнениями, внесенными решениями Тупкараганского районного маслихата Мангистауской области от 09.06.2014 </w:t>
      </w:r>
      <w:r>
        <w:rPr>
          <w:rFonts w:ascii="Times New Roman"/>
          <w:b w:val="false"/>
          <w:i w:val="false"/>
          <w:color w:val="000000"/>
          <w:sz w:val="28"/>
        </w:rPr>
        <w:t>№ 22/157;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02.03.2015 </w:t>
      </w:r>
      <w:r>
        <w:rPr>
          <w:rFonts w:ascii="Times New Roman"/>
          <w:b w:val="false"/>
          <w:i w:val="false"/>
          <w:color w:val="000000"/>
          <w:sz w:val="28"/>
        </w:rPr>
        <w:t>№ 28/193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20.05.2015 </w:t>
      </w:r>
      <w:r>
        <w:rPr>
          <w:rFonts w:ascii="Times New Roman"/>
          <w:b w:val="false"/>
          <w:i w:val="false"/>
          <w:color w:val="000000"/>
          <w:sz w:val="28"/>
        </w:rPr>
        <w:t>№ 30/206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03.10.2016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15.05.2017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05.02.2018 </w:t>
      </w:r>
      <w:r>
        <w:rPr>
          <w:rFonts w:ascii="Times New Roman"/>
          <w:b w:val="false"/>
          <w:i w:val="false"/>
          <w:color w:val="000000"/>
          <w:sz w:val="28"/>
        </w:rPr>
        <w:t>№ 17/142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29/239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02.10.2020 </w:t>
      </w:r>
      <w:r>
        <w:rPr>
          <w:rFonts w:ascii="Times New Roman"/>
          <w:b w:val="false"/>
          <w:i w:val="false"/>
          <w:color w:val="000000"/>
          <w:sz w:val="28"/>
        </w:rPr>
        <w:t>№ 48/355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лицам,оказавшимся в трудной жизненной ситуации:</w:t>
      </w:r>
    </w:p>
    <w:bookmarkEnd w:id="68"/>
    <w:bookmarkStart w:name="z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онкологическим больным и больным, выписанным из специализированной и противотуберкулезной медицинских организации, заразившимся вирусом иммунодефицита при отсутствии государственной пенсий или пособий, без учета доходов - в размере 26 (двадцать шесть) месячных расчетных показателей, один раз в год;</w:t>
      </w:r>
    </w:p>
    <w:bookmarkEnd w:id="69"/>
    <w:bookmarkStart w:name="z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детям инвалидам до 18-ти лет, обучающимся на дому, предоставляется без учета доходов, ежемесячно - в размере 5 (пять) месячных расчетных показателей;</w:t>
      </w:r>
    </w:p>
    <w:bookmarkEnd w:id="70"/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лицам, пострадавшим вследствие стихийного бедствия или пожара, предоставляется по заявлению, не позднее шести месяцев с момента наступления трудной жизненной ситуации, без учета доходов - в размере 50 (пятьдесят) месячных расчетных показателей, единовременно.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4) исключен решением Тупкараганского районного маслихата Мангистауской области от 02.03.2015 № 28/193(вводится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социальная помощь лицам из семей, имеющих среднедушевой доход ниже 1,5 кратной величины прожиточного минимума установленного в Мангистауской области в предшествующем квартале к моменту обращения, на бытовые нужды, на лечение, приобретение медикаментов, учебных принадлежностей или в связи со смертью одного из членов семьи один раз в год по заявлению в размере не превышающим 40 (сорок) месячных расчетных показателей. 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в пределах средств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ежемесячно на частичное покрытие затратов питания и проживания – 5 (пять) месячных расчетных показателей:</w:t>
      </w:r>
    </w:p>
    <w:bookmarkEnd w:id="73"/>
    <w:bookmarkStart w:name="z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- инвалидам первой, второй группы, обучающимся в высших учебных заведениях Республики Казахстан без учета дохода и без ограничения выбора специальности;</w:t>
      </w:r>
    </w:p>
    <w:bookmarkEnd w:id="74"/>
    <w:bookmarkStart w:name="z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следующих категорий из семей, имеющих среднедушевой доход ниже 1,5 кратной величины прожиточного минимума в Мангистауской области за 12 месяцев перед обращением:</w:t>
      </w:r>
    </w:p>
    <w:bookmarkEnd w:id="75"/>
    <w:bookmarkStart w:name="z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студентам, обучающимся по очной форме, для получения академической степени бакалавра в высших учебных заведениях Республики Казахстан или интернатуре высших медицинских учебных заведений (кроме специальности "Стоматология") по запросу государственных учреждений района в целях обеспечения квалифицированными специалистами в области здравохранения, образования, агропромышленного комплекса, социального обеспечения, культуры, спорта и туризма;</w:t>
      </w:r>
    </w:p>
    <w:bookmarkEnd w:id="76"/>
    <w:bookmarkStart w:name="z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оба или один из родителей являются инвалидами первой, второй группы или оба родителя являются пенсионерами;</w:t>
      </w:r>
    </w:p>
    <w:bookmarkEnd w:id="77"/>
    <w:bookmarkStart w:name="z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</w:p>
    <w:bookmarkEnd w:id="78"/>
    <w:bookmarkStart w:name="z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студенту из семей, имеющих четырех и более совместно проживающих несовершеннолетних детей;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студентам воспитанникам детских домов и детских деревень;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за счет средств местного бюджета присуждаются на конкурсной основе студентам, принятым на основании гранта акима области, обучающимся по очной форме с учетом потребности региона в кадрах для обучения в высших учебных заведениях по конкретным специальностям в соответствии с баллами сертификатов по результатам единого национального тестирования или комплексного тестирования абитуриентов согласно очередности специальностей, заявленных абитуриентами, с выдачей свидетельства о присуждении образовательного гранта.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предоставляется многодетным семьям, имеющих четырех и более совместно проживающих несовершеннолетних детей, в том числе детей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более, чем до достижения двадцатитрехлетнего возраста) получающих государственную адресную социальную помощь, в размере 100 (сто) тысяч тенге, единовременно, в связи с ростом цен на продукты питания по списку утверждаемому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Тупкараганского районного маслихата Мангистауской области от 09.06.2014 </w:t>
      </w:r>
      <w:r>
        <w:rPr>
          <w:rFonts w:ascii="Times New Roman"/>
          <w:b w:val="false"/>
          <w:i w:val="false"/>
          <w:color w:val="000000"/>
          <w:sz w:val="28"/>
        </w:rPr>
        <w:t>№ 22/157;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02.03.2015 </w:t>
      </w:r>
      <w:r>
        <w:rPr>
          <w:rFonts w:ascii="Times New Roman"/>
          <w:b w:val="false"/>
          <w:i w:val="false"/>
          <w:color w:val="000000"/>
          <w:sz w:val="28"/>
        </w:rPr>
        <w:t>№ 28/193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29.06.2015 </w:t>
      </w:r>
      <w:r>
        <w:rPr>
          <w:rFonts w:ascii="Times New Roman"/>
          <w:b w:val="false"/>
          <w:i w:val="false"/>
          <w:color w:val="000000"/>
          <w:sz w:val="28"/>
        </w:rPr>
        <w:t>№ 31/210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34/232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03.10.2016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05.02.2018 </w:t>
      </w:r>
      <w:r>
        <w:rPr>
          <w:rFonts w:ascii="Times New Roman"/>
          <w:b w:val="false"/>
          <w:i w:val="false"/>
          <w:color w:val="000000"/>
          <w:sz w:val="28"/>
        </w:rPr>
        <w:t>№ 17/142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29/239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Порядок оказания социальной помощи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списку, утверждаемым местным исполнительным органом по представлению Центром либо иных организаций без истребования заявлений от получателей.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получателей, имеющих право на социальную помощь к памятным датам и праздничным дням, но не включенным в электронный вариант списков Центра по каким либо причинам, местным исполнительным органом утверждаются дополнительные списки на основании представленных документов.</w:t>
      </w:r>
    </w:p>
    <w:bookmarkEnd w:id="84"/>
    <w:bookmarkStart w:name="z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85"/>
    <w:bookmarkStart w:name="z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Магистауского районного маслихата Мангистауской области от 16.03.2020 </w:t>
      </w:r>
      <w:r>
        <w:rPr>
          <w:rFonts w:ascii="Times New Roman"/>
          <w:b w:val="false"/>
          <w:i w:val="false"/>
          <w:color w:val="000000"/>
          <w:sz w:val="28"/>
        </w:rPr>
        <w:t>№ 40/305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88"/>
    <w:bookmarkStart w:name="z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категорию получателя;</w:t>
      </w:r>
    </w:p>
    <w:bookmarkEnd w:id="89"/>
    <w:bookmarkStart w:name="z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и (или) документы, подтверждающие наступление трудной жизненной ситуации;</w:t>
      </w:r>
    </w:p>
    <w:bookmarkEnd w:id="90"/>
    <w:bookmarkStart w:name="z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сведения о номере банковского счета в уполномоченной организации по выдаче социальной помощи;</w:t>
      </w:r>
    </w:p>
    <w:bookmarkEnd w:id="91"/>
    <w:bookmarkStart w:name="z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рождении и зачетная книжка (для студентов высших учебных заведений);</w:t>
      </w:r>
    </w:p>
    <w:bookmarkEnd w:id="92"/>
    <w:bookmarkStart w:name="z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на оказание образовательных услуг (для студентов высших учебных заведений).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лица (семьи), находящихся в трудной жизненной ситуации и не имеющих возможностей обращаться самостоятельно, с заявлением об оказании социальной помощи с указанием причины, могут обратиться:</w:t>
      </w:r>
    </w:p>
    <w:bookmarkEnd w:id="94"/>
    <w:bookmarkStart w:name="z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из взрослых членов семьи;</w:t>
      </w:r>
    </w:p>
    <w:bookmarkEnd w:id="95"/>
    <w:bookmarkStart w:name="z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(попечитель);</w:t>
      </w:r>
    </w:p>
    <w:bookmarkEnd w:id="96"/>
    <w:bookmarkStart w:name="z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 по доверенности в соответствии с гражданским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Тупкараганского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000000"/>
          <w:sz w:val="28"/>
        </w:rPr>
        <w:t>№ 31/210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опубликования): от 16.03.2020 </w:t>
      </w:r>
      <w:r>
        <w:rPr>
          <w:rFonts w:ascii="Times New Roman"/>
          <w:b w:val="false"/>
          <w:i w:val="false"/>
          <w:color w:val="000000"/>
          <w:sz w:val="28"/>
        </w:rPr>
        <w:t>№ 40/305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Документы предоставляются в подлинниках и копиях для сверки, после чего подлинники документов возвращаются заявителю. </w:t>
      </w:r>
    </w:p>
    <w:bookmarkEnd w:id="98"/>
    <w:bookmarkStart w:name="z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об оказании социальной помощи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99"/>
    <w:bookmarkStart w:name="z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 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101"/>
    <w:bookmarkStart w:name="z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2"/>
    <w:bookmarkStart w:name="z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3"/>
    <w:bookmarkStart w:name="z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4"/>
    <w:bookmarkStart w:name="z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05"/>
    <w:bookmarkStart w:name="z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107"/>
    <w:bookmarkStart w:name="z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решением Тупкараганского районного маслихата Мангистауской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Совокупный доход семьи исчисляется в соответствии с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Тупкараганского районного маслихата Мангистауской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29/239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Отказ в оказании социальной помощи осуществляется в случаях:</w:t>
      </w:r>
    </w:p>
    <w:bookmarkEnd w:id="110"/>
    <w:bookmarkStart w:name="z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1"/>
    <w:bookmarkStart w:name="z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2"/>
    <w:bookmarkStart w:name="z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прожиточного минимума Мангистауской области.</w:t>
      </w:r>
    </w:p>
    <w:bookmarkEnd w:id="113"/>
    <w:bookmarkStart w:name="z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Тупкараганского района на текущий финансовый год.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операции путем перечисления на счета получателей.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26-1 - в соответствии с решением Тупкараганского районного маслихата Мангистауской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Основания для прекращения и возврата предоставляемой социальной помощи</w:t>
      </w:r>
    </w:p>
    <w:bookmarkStart w:name="z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117"/>
    <w:bookmarkStart w:name="z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8"/>
    <w:bookmarkStart w:name="z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19"/>
    <w:bookmarkStart w:name="z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0"/>
    <w:bookmarkStart w:name="z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22"/>
    <w:bookmarkStart w:name="z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</w:p>
    <w:bookmarkStart w:name="z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 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4915"/>
        <w:gridCol w:w="3425"/>
        <w:gridCol w:w="1936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заявителя ____________________ Дата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уполномоченного заверять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для определения нуждаемости лица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 ________ 20___г.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семьи (учитываются фактически проживающие в семье)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653"/>
        <w:gridCol w:w="574"/>
        <w:gridCol w:w="1052"/>
        <w:gridCol w:w="1052"/>
        <w:gridCol w:w="1052"/>
        <w:gridCol w:w="3689"/>
        <w:gridCol w:w="2251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заявителю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учебы)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незаня-тости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профессио-нальной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квалифика-ции) или в активных мерах содействия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жизнен-ная ситуа-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 - 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3113"/>
        <w:gridCol w:w="718"/>
        <w:gridCol w:w="718"/>
        <w:gridCol w:w="2067"/>
        <w:gridCol w:w="4014"/>
      </w:tblGrid>
      <w:tr>
        <w:trPr>
          <w:trHeight w:val="30" w:hRule="atLeast"/>
        </w:trPr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иного жилья, кроме занимаемого в настоящее время, (заявленные доходы от его эксплуатации)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(подписи)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 Ф.И.О.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 Ф.И.О. и подпись заявителя (или одного из членов семьи),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в случае отказа заявителя от проведения обследования)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участковой комиссии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__________20___ г. </w:t>
      </w:r>
    </w:p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(подписи)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принято_____ ____________ 20____ г. ________________________________________ Ф.И.О., должность, подпись работника, акима поселка, села, сельского округа или уполномоченного органа, принявшего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