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4f39" w14:textId="aa74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2013 года № 21. Зарегистрировано Департаментом юстиции Костанайской области 14 февраля 2013 года № 4013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прилагаемый государственный образовательный заказ на дошкольное воспитание и обучение, размер подушевого финансирования и родительской платы в дошкольных организациях образования Костанайской области на 2013 год, финансируемых за счет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городов и районов обеспечить размещение государственного образовательного заказа на дошкольное воспитание и обучение за счет целевых трансфертов из республиканского бюджета в дошкольных организациях образования города (района).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Жундубаев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Кисленкова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2013 года № 21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
размер подушевого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2013 год, финансируемых за</w:t>
      </w:r>
      <w:r>
        <w:br/>
      </w:r>
      <w:r>
        <w:rPr>
          <w:rFonts w:ascii="Times New Roman"/>
          <w:b/>
          <w:i w:val="false"/>
          <w:color w:val="000000"/>
        </w:rPr>
        <w:t>
счет целевых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3479"/>
        <w:gridCol w:w="3796"/>
        <w:gridCol w:w="3955"/>
      </w:tblGrid>
      <w:tr>
        <w:trPr>
          <w:trHeight w:val="255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 город)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(детские ясли,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ясли-сад,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сад")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3479"/>
        <w:gridCol w:w="3796"/>
        <w:gridCol w:w="3955"/>
      </w:tblGrid>
      <w:tr>
        <w:trPr>
          <w:trHeight w:val="255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 город)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(детские ясли,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ясли-сад,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сад")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3479"/>
        <w:gridCol w:w="3796"/>
        <w:gridCol w:w="3955"/>
      </w:tblGrid>
      <w:tr>
        <w:trPr>
          <w:trHeight w:val="255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 город)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тенге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(детские ясли,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ясли-сад,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сад")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527"/>
        <w:gridCol w:w="1924"/>
        <w:gridCol w:w="1924"/>
        <w:gridCol w:w="1925"/>
        <w:gridCol w:w="1925"/>
      </w:tblGrid>
      <w:tr>
        <w:trPr>
          <w:trHeight w:val="255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 город)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(детские ясли,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сад")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