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19c3" w14:textId="50b1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 № 0705 и № 0706 Тарановского месторождения подземных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445. Зарегистрировано Департаментом юстиции Костанайской области 27 ноября 2013 года № 4313.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хозяйственно–питьевого водозабора на участке скважин № 0705 и № 0706 Тарановского месторождения подземных вод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окружающей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хозяйственно–питьевого</w:t>
      </w:r>
      <w:r>
        <w:br/>
      </w:r>
      <w:r>
        <w:rPr>
          <w:rFonts w:ascii="Times New Roman"/>
          <w:b/>
          <w:i w:val="false"/>
          <w:color w:val="000000"/>
        </w:rPr>
        <w:t>водозабора на участке скважин № 0705 и № 0706</w:t>
      </w:r>
      <w:r>
        <w:br/>
      </w:r>
      <w:r>
        <w:rPr>
          <w:rFonts w:ascii="Times New Roman"/>
          <w:b/>
          <w:i w:val="false"/>
          <w:color w:val="000000"/>
        </w:rPr>
        <w:t>Тарановского месторождения подземных вод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0705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223 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"Санитарно-гидрогеологическое обоснование зон санитарной охраны водозаборных скважин № 0705 и № 0706 Тарановского месторождения подземных вод в Костанайской области" (заказчик – товарищество с ограниченной ответственностью "Сулу").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