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44f4f" w14:textId="eb44f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Костанайского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27 декабря 2013 года № 153. Зарегистрировано Департаментом юстиции Костанайской области 30 декабря 2013 года № 4384. Утратило силу в связи с истечением срока действия (письмо Аппарата маслихата Костанайского района Костанайской области от 16 января 2015 года № 02-30-3)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в связи с истечением срока действия (письмо Аппарата маслихата Костанайского района Костанайской области от 16.01.2015 № 02-30-3).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Костанайского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- 5887575,5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- 2530045,0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- 8555,0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- 23400,0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- 3325575,5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- 5999693,2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- 43685,6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- 58085,6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- 14400,0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-155803,3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- 155803,3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Принять к сведению, что объем субвенции передаваемых из областного бюджета районному бюджету на 2014 год определен в сумме 1280549,0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2014 году бюджетные изъятия из бюджета района в областной бюджет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Костанайского района на 2014 год в сумме 13707,0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Костанайского района Костанайской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2014 год предусмотрено поступление сумм бюджетных кредитов из республиканского бюджета на реализацию мер социальной поддержки специалистов в сумме 58085,6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5 - в редакции решения маслихата Костанайского района Костанайской области от 14.11.2014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района на 2014 год предусмотрено поступление целевых текущих трансфертов из республиканского бюджета на реализацию государственного образовательного заказа в дошкольных организациях образования в сумме 105710,0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Учесть, что в бюджете района на 2014 год предусмотрено поступление целевых текущих трансфертов из республиканского бюджета на реализацию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Государственной 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2011-2020 годы в сумме 17410,6 тысяч тенге,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7 -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Учесть, что в бюджете района на 2014 год предусмотрено поступление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 в сумме 34397,0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8 -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Учесть, что в бюджете района на 2014 год предусмотрено поступление целевых текущих трансфертов из областного бюджета на укрепление материально-технической базы объектов коммунальной собственности в сумме 6015,6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решения маслихата Костанайского района Костанайской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Учесть, что в бюджете района на 2014 год предусмотрено поступление целевых трансфертов на развитие из республиканского бюджета на проектирование, развитие, обустройство и (или) приобретение инженерно-коммуникационной инфраструктуры в сумме 668208,9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10 -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Учесть, что в бюджете района на 2014 год предусмотрено поступление целевых трансфертов на развитие из республиканского и областного бюджетов на проектирование, строительство и (или) приобретение жилья коммунального жилищного фонда в сумме 54932,0 тысяч тенге, на строительство жилья для очередников.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Учесть, что в бюджете района на 2014 год предусмотрено поступление целевых текущих трансфертов из республиканского бюджета на реализацию Плана мероприятий по обеспечению прав и улучшению качества жизни инвалидов в сумме 346,1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12 -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Учесть, что в бюджете района на 2014 год предусмотрено поступление целевых трансфертов на развитие из областного бюджета на развитие системы водоснабжения и водоотведения в сельских населенных пунктах в сумме 31026,2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13 -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Учесть, что в бюджете района на 2014 год предусмотрено поступление целевых трансфертов на развитие из республиканского бюджета на развитие системы водоснабжения и водоотведения в сельских населенных пунктах в сумме 233858,0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Учесть, что в бюджете района на 2014 год предусмотрено поступление целевых трансфертов на развитие из областного бюджета на развитие транспортной инфраструктуры в сумме 512943,9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15 -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Учесть, что в бюджете района на 2014 год предусмотрено поступление целевых трансфертов на развитие из областного бюджета на развитие объектов спорта в сумме 171167,0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Учесть, что в бюджете района на 2014 год предусмотрено поступление целевых текущих трансфертов на развитие из областного бюджета на ремонт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65818,6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17-1. Учесть, что в бюджете района на 2014 год предусмотрено поступление целевых текущих трансфертов из областного бюджета на средний ремонт дорог в селе Мичуринское Костанайского района в сумме 25000,0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17-1 в соответствии с решением маслихата Костанайского района Костанайской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17-2. Учесть, что в бюджете района на 2014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12073,5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3,4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17-2 в соответствии с решением маслихата Костанайского района Костанайской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решения маслихата Костанайского района Костанайской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17-3. Учесть, что в бюджете района на 2014 год предусмотрено доиспользование неиспользованных остатков кредита выделенных в 2013 году на реализацию мер социальной поддержки специалистов в сумме 601,4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17-3 в соответствии с решением маслихата Костанайского района Костанайской области от 19.02.2014 </w:t>
      </w:r>
      <w:r>
        <w:rPr>
          <w:rFonts w:ascii="Times New Roman"/>
          <w:b w:val="false"/>
          <w:i w:val="false"/>
          <w:color w:val="000000"/>
          <w:sz w:val="28"/>
        </w:rPr>
        <w:t>№ 162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17-4. Учесть, что в бюджете района на 2014 год предусмотрено поступление целевых текущих трансфертов из республиканского бюджета на выплату государственной адресной социальной помощи в сумме 297,6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17-4 в соответствии с решением маслихата Костанайского района Костанайской области от 29.04.2014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17-5. Учесть, что в бюджете района на 2014 год предусмотрено поступление целевых текущих трансфертов из республиканского бюджета на выплату государственных пособий на детей до 18 лет в сумме 2588,9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17-5 в соответствии с решением маслихата Костанайского района Костанайской области от 29.04.2014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17-6. Учесть, что в бюджете района на 2014 год предусмотрено поступление целевых текущих трансфертов из республиканского бюджета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в сумме 114101,7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17-6 в соответствии с решением маслихата Костанайского района Костанайской области от 29.04.2014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17-7. Учесть, что в бюджете района на 2014 год предусмотрено поступление целевых текущих трансфертов из областного бюджета на увеличение размера социальной помощи на бытовые нужды участникам и инвалидам Великой Отечественной войны с 1 мая 2014 года с 6 до 10 месячных расчетных показателей, в сумме 1037,2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17-7 в соответствии с решением маслихата Костанайского района Костанайской области от 29.04.2014 </w:t>
      </w:r>
      <w:r>
        <w:rPr>
          <w:rFonts w:ascii="Times New Roman"/>
          <w:b w:val="false"/>
          <w:i w:val="false"/>
          <w:color w:val="000000"/>
          <w:sz w:val="28"/>
        </w:rPr>
        <w:t>№ 203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17-8. Учесть, что в бюджете района на 2014 год предусмотрены расходы на обслуживание долга местных исполнительных органов по выплате вознаграждений и иных платежей по займам из областного бюджета в сумме 22,3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17-8 в соответствии с решением маслихата Костанайского района Костанайской области от 08.08.2014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в редакции решения маслихата Костанайского района Костанайской области от 14.11.2014 </w:t>
      </w:r>
      <w:r>
        <w:rPr>
          <w:rFonts w:ascii="Times New Roman"/>
          <w:b w:val="false"/>
          <w:i w:val="false"/>
          <w:color w:val="000000"/>
          <w:sz w:val="28"/>
        </w:rPr>
        <w:t>№ 246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17-9. Учесть, что в бюджете района на 2014 год предусмотрено поступление целевых текущих трансфертов из областного бюджета на проведение противоэпизоотических мероприятий в сумме 167,2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17-9 в соответствии с решением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00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Утвердить перечень бюджетных программ, не подлежащих секвестру в процессе исполнения районного бюджета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Утвердить свод бюджетных программ по аппаратам акимов поселка, сел, сельских округов на 2014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Настоящее решение вводится в действие с 1 января 2014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 Балапанова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Досжанов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З. Кенжегарина</w:t>
      </w:r>
    </w:p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73"/>
        <w:gridCol w:w="633"/>
        <w:gridCol w:w="693"/>
        <w:gridCol w:w="7013"/>
        <w:gridCol w:w="229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5887575,5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2530045,0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984896,0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984896,0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664955,0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813056,0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621257,0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12984,0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164448,0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52157,0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25914,0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1750,0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13231,0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8555,0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662,0</w:t>
            </w:r>
          </w:p>
        </w:tc>
      </w:tr>
      <w:tr>
        <w:trPr>
          <w:trHeight w:val="7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6420,0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23400,0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3325575,5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3325575,5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3325575,5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713"/>
        <w:gridCol w:w="733"/>
        <w:gridCol w:w="6693"/>
        <w:gridCol w:w="22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5999693,2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367990,6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335847,6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15126,0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103622,0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217099,6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216025,6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854,9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31288,1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31288,1</w:t>
            </w:r>
          </w:p>
        </w:tc>
      </w:tr>
      <w:tr>
        <w:trPr>
          <w:trHeight w:val="12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30434,4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853,7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14157,0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4690,0</w:t>
            </w:r>
          </w:p>
        </w:tc>
      </w:tr>
      <w:tr>
        <w:trPr>
          <w:trHeight w:val="9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2788467,4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239421,4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239421,4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133711,4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105710,0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2431389,7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16480,9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2414908,8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2384665,8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117656,3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117656,3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10744,7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23491,0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40265,0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41959,6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164416,3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135039,4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135039,4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19946,0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30404,2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27013,7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31715,9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7644,0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29030,8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21806,0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6372,8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346,1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1357676,7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874392,5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14994,0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77651,6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77651,6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780046,9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67132,0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712914,9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310394,2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275819,2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275819,2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172890,0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88738,0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81055,0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417532,2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75812,3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75812,3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75812,3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231870,0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60303,0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7090,9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36823,1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8299,0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171567,0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79977,0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61937,0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53214,0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18040,0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14845,0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29872,9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18580,9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8434,0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2758,0</w:t>
            </w:r>
          </w:p>
        </w:tc>
      </w:tr>
      <w:tr>
        <w:trPr>
          <w:trHeight w:val="2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114893,9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36382,7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13114,7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13114,7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20153,0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9120,0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68713,2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34261,0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13741,0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20370,0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7998,0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12272,0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631725,9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631725,9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71188,0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560537,9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520837,9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39700,0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96473,0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7192,2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7192,2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7092,2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89280,8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18230,1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12214,5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6015,6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7397,5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7397,5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5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22,3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5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12076,9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43685,6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  <w:tr>
        <w:trPr>
          <w:trHeight w:val="5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58085,6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53"/>
        <w:gridCol w:w="593"/>
        <w:gridCol w:w="773"/>
        <w:gridCol w:w="6693"/>
        <w:gridCol w:w="2273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13"/>
        <w:gridCol w:w="633"/>
        <w:gridCol w:w="773"/>
        <w:gridCol w:w="6793"/>
        <w:gridCol w:w="22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-155803,3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155803,3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833"/>
        <w:gridCol w:w="693"/>
        <w:gridCol w:w="6633"/>
        <w:gridCol w:w="2313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5067729,0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2559618,0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1058755,0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1058755,0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782392,0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185024,0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2467729,0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2467729,0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733"/>
        <w:gridCol w:w="733"/>
        <w:gridCol w:w="6673"/>
        <w:gridCol w:w="235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5067729,0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348106,0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310331,0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84393,0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212915,0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212915,0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30752,0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30091,0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4017,0</w:t>
            </w:r>
          </w:p>
        </w:tc>
      </w:tr>
      <w:tr>
        <w:trPr>
          <w:trHeight w:val="42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127940,0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2174774,0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2159797,0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2130421,0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170786,0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170786,0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25135,0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36457,0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95819,0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39647,0</w:t>
            </w:r>
          </w:p>
        </w:tc>
      </w:tr>
      <w:tr>
        <w:trPr>
          <w:trHeight w:val="9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21531,0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889324,0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710786,0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710786,0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192204,0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167823,0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110522,0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57301,0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58067,0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60101,0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43332,0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5459,0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69567,0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51335,0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48110,0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18232,0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6486,0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11069,0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2951,0</w:t>
            </w:r>
          </w:p>
        </w:tc>
      </w:tr>
      <w:tr>
        <w:trPr>
          <w:trHeight w:val="6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23432,0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20317,0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8727,0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29644,0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12230,0</w:t>
            </w:r>
          </w:p>
        </w:tc>
      </w:tr>
      <w:tr>
        <w:trPr>
          <w:trHeight w:val="28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699224,0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699224,0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32219,0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667005,0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629875,0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141272,0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134309,0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18653,0</w:t>
            </w:r>
          </w:p>
        </w:tc>
      </w:tr>
      <w:tr>
        <w:trPr>
          <w:trHeight w:val="6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693"/>
        <w:gridCol w:w="573"/>
        <w:gridCol w:w="593"/>
        <w:gridCol w:w="6993"/>
        <w:gridCol w:w="2333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1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73"/>
        <w:gridCol w:w="613"/>
        <w:gridCol w:w="693"/>
        <w:gridCol w:w="6973"/>
        <w:gridCol w:w="231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701"/>
        <w:gridCol w:w="765"/>
        <w:gridCol w:w="766"/>
        <w:gridCol w:w="6460"/>
        <w:gridCol w:w="231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4402671,0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2767618,0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1172481,0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1172481,0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860358,0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860358,0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658466,0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433159,0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12964,0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197976,0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14367,0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61438,0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10916,0</w:t>
            </w:r>
          </w:p>
        </w:tc>
      </w:tr>
      <w:tr>
        <w:trPr>
          <w:trHeight w:val="34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25053,0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458,0</w:t>
            </w:r>
          </w:p>
        </w:tc>
      </w:tr>
      <w:tr>
        <w:trPr>
          <w:trHeight w:val="9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16376,0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70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24006,0</w:t>
            </w:r>
          </w:p>
        </w:tc>
      </w:tr>
      <w:tr>
        <w:trPr>
          <w:trHeight w:val="39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24006,0</w:t>
            </w:r>
          </w:p>
        </w:tc>
      </w:tr>
      <w:tr>
        <w:trPr>
          <w:trHeight w:val="37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1594671,0</w:t>
            </w:r>
          </w:p>
        </w:tc>
      </w:tr>
      <w:tr>
        <w:trPr>
          <w:trHeight w:val="3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1594671,0</w:t>
            </w:r>
          </w:p>
        </w:tc>
      </w:tr>
      <w:tr>
        <w:trPr>
          <w:trHeight w:val="3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1594671,0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29"/>
        <w:gridCol w:w="744"/>
        <w:gridCol w:w="723"/>
        <w:gridCol w:w="6696"/>
        <w:gridCol w:w="233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4402671,0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350258,0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316379,0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87157,0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215987,0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215987,0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26392,0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26257,0</w:t>
            </w:r>
          </w:p>
        </w:tc>
      </w:tr>
      <w:tr>
        <w:trPr>
          <w:trHeight w:val="31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3470,0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2408523,0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138840,0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2190124,0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2174438,0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2144842,0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29596,0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79559,0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10641,0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140705,0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23368,0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42423,0</w:t>
            </w:r>
          </w:p>
        </w:tc>
      </w:tr>
      <w:tr>
        <w:trPr>
          <w:trHeight w:val="10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23215,0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21929,0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645674,0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386525,0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167625,0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инфрастуктуры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218900,0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135195,0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123954,0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37384,0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61312,0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57308,0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59579,0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63994,0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63994,0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46365,0</w:t>
            </w:r>
          </w:p>
        </w:tc>
      </w:tr>
      <w:tr>
        <w:trPr>
          <w:trHeight w:val="6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71561,0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52052,0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48811,0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3241,0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19509,0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3658,0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20728,0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9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3158,0</w:t>
            </w:r>
          </w:p>
        </w:tc>
      </w:tr>
      <w:tr>
        <w:trPr>
          <w:trHeight w:val="7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117875,0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40442,0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24752,0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3115,0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8887,0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68546,0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19465,0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335760,0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34332,0</w:t>
            </w:r>
          </w:p>
        </w:tc>
      </w:tr>
      <w:tr>
        <w:trPr>
          <w:trHeight w:val="6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34332,0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301428,0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261700,0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39728,0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136687,0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</w:tr>
      <w:tr>
        <w:trPr>
          <w:trHeight w:val="6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129581,0</w:t>
            </w:r>
          </w:p>
        </w:tc>
      </w:tr>
      <w:tr>
        <w:trPr>
          <w:trHeight w:val="6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63656,0</w:t>
            </w:r>
          </w:p>
        </w:tc>
      </w:tr>
      <w:tr>
        <w:trPr>
          <w:trHeight w:val="6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9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9925,0</w:t>
            </w:r>
          </w:p>
        </w:tc>
      </w:tr>
      <w:tr>
        <w:trPr>
          <w:trHeight w:val="3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56000,0</w:t>
            </w:r>
          </w:p>
        </w:tc>
      </w:tr>
      <w:tr>
        <w:trPr>
          <w:trHeight w:val="3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"/>
        <w:gridCol w:w="540"/>
        <w:gridCol w:w="540"/>
        <w:gridCol w:w="781"/>
        <w:gridCol w:w="7091"/>
        <w:gridCol w:w="2425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60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375" w:hRule="atLeast"/>
        </w:trPr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"/>
        <w:gridCol w:w="267"/>
        <w:gridCol w:w="267"/>
        <w:gridCol w:w="496"/>
        <w:gridCol w:w="7904"/>
        <w:gridCol w:w="2399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14400,0</w:t>
            </w:r>
          </w:p>
        </w:tc>
      </w:tr>
      <w:tr>
        <w:trPr>
          <w:trHeight w:val="405" w:hRule="atLeast"/>
        </w:trPr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-14400,0</w:t>
            </w:r>
          </w:p>
        </w:tc>
      </w:tr>
    </w:tbl>
    <w:bookmarkStart w:name="z3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587"/>
        <w:gridCol w:w="693"/>
        <w:gridCol w:w="735"/>
        <w:gridCol w:w="9018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декабря 2013 года № 153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 бюджетных программ по аппаратам</w:t>
      </w:r>
      <w:r>
        <w:br/>
      </w:r>
      <w:r>
        <w:rPr>
          <w:rFonts w:ascii="Times New Roman"/>
          <w:b/>
          <w:i w:val="false"/>
          <w:color w:val="000000"/>
        </w:rPr>
        <w:t>
акимов поселка, сел, сельских</w:t>
      </w:r>
      <w:r>
        <w:br/>
      </w:r>
      <w:r>
        <w:rPr>
          <w:rFonts w:ascii="Times New Roman"/>
          <w:b/>
          <w:i w:val="false"/>
          <w:color w:val="000000"/>
        </w:rPr>
        <w:t>
округов на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5 - в редакции решения маслихата Костанайского района Костанайской области от 28.11.2014 </w:t>
      </w:r>
      <w:r>
        <w:rPr>
          <w:rFonts w:ascii="Times New Roman"/>
          <w:b w:val="false"/>
          <w:i w:val="false"/>
          <w:color w:val="ff0000"/>
          <w:sz w:val="28"/>
        </w:rPr>
        <w:t>№ 256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0"/>
        <w:gridCol w:w="3227"/>
        <w:gridCol w:w="2092"/>
        <w:gridCol w:w="2278"/>
        <w:gridCol w:w="2370"/>
        <w:gridCol w:w="2279"/>
      </w:tblGrid>
      <w:tr>
        <w:trPr>
          <w:trHeight w:val="34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123001000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123022000 "Капитальные расходы государственного органа "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123005000 "Организация бесплатного подвоза учащихся до школы и обратно в сельской местности"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123008000 "Освещение улиц населенных пунктов"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216025,6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16480,9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23075,0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Александровский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11290,3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Белозерский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Борис-Романовка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Владимировский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10614,9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Воскресеновка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Глазуновский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9947,0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Ждановский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8320,0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10401,7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14960,0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6534,0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Затобольск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8708,0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Майкольский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10540,7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2638,9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10782,0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Надеждинский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8522,0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Озерное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12534,0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Половниковский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8047,8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182,0</w:t>
            </w:r>
          </w:p>
        </w:tc>
      </w:tr>
      <w:tr>
        <w:trPr>
          <w:trHeight w:val="255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Садчиковский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11816,2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544,0</w:t>
            </w:r>
          </w:p>
        </w:tc>
      </w:tr>
      <w:tr>
        <w:trPr>
          <w:trHeight w:val="24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Ульяновский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</w:tr>
      <w:tr>
        <w:trPr>
          <w:trHeight w:val="270" w:hRule="atLeast"/>
        </w:trPr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Шишкинский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9032,0</w:t>
            </w:r>
          </w:p>
        </w:tc>
        <w:tc>
          <w:tcPr>
            <w:tcW w:w="2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2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0"/>
        <w:gridCol w:w="2261"/>
        <w:gridCol w:w="2512"/>
        <w:gridCol w:w="1919"/>
        <w:gridCol w:w="3149"/>
      </w:tblGrid>
      <w:tr>
        <w:trPr>
          <w:trHeight w:val="34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123009000 "Обеспечение санитарии населенных пунктов"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123011000 "Благоустройство и озеленение населенных пунктов"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123013000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123045000 "Капитальный и средний ремонт автомобильных дорог улиц населенных пунктов"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123040000 "Реализация мер по содействию экономическому развитию регионов в рамках Программы "Развитие регионов"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58524,0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31188,0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63653,2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53343,0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19337,0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40656,0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5997,2</w:t>
            </w:r>
          </w:p>
        </w:tc>
      </w:tr>
      <w:tr>
        <w:trPr>
          <w:trHeight w:val="255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4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183,0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3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