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ddcc" w14:textId="9cdd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(XII сессия V созыв) от 20 декабря 2012 года N 1/12 "О бюджете Лебяжинского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12 декабря 2013 года N 1/24. Зарегистрировано Департаментом юстиции Павлодарской области 20 декабря 2013 года N 3636. Утратило силу в связи с истечением срока действия (письмо маслихата Лебяжинского района Павлодарской области от 05 марта 2014 года N 1-19/43)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Лебяжинского района Павлодарской области от 05.03.2014 N 1-19/43).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(XХV (внеочередная) сессия V созыв) от 9 декабря 2013 года N 195/25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 V созыв) от 6 декабря 2012 года N 116/11 "Об областном бюджете на 2013 – 2015 годы",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(XІI сессия V созыв) от 20 декабря 2012 года N 1/12 "О бюджете Лебяжинского района на 2013-2015 годы" (зарегистрированное в Реестре государственной регистрации нормативных правовых актов за N 3316, опубликованное 12 января 2013 года в газете "Аққу үні" – "Вести Акку"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"1986878" заменить цифрами "1984509";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"1735645" заменить цифрами "1733276";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"2003879" заменить цифрами "2001510";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</w:t>
      </w:r>
      <w:r>
        <w:rPr>
          <w:rFonts w:ascii="Times New Roman"/>
          <w:b w:val="false"/>
          <w:i w:val="false"/>
          <w:color w:val="000000"/>
          <w:sz w:val="28"/>
        </w:rPr>
        <w:t> 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Альтаев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Альтаев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>к решению Лебяжинского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 xml:space="preserve">(XXIV (внеочередная) сессия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 xml:space="preserve">от 12 декабря 2013 года N 1/24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1d1b11"/>
          <w:sz w:val="28"/>
        </w:rPr>
        <w:t xml:space="preserve">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>к решению Лебяжинского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 xml:space="preserve">(XIІ сессия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 xml:space="preserve">от 20 декабря 2012 года N 1/12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406"/>
        <w:gridCol w:w="426"/>
        <w:gridCol w:w="8810"/>
        <w:gridCol w:w="233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1984509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249481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114549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114549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12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1733276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1733276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76"/>
        <w:gridCol w:w="542"/>
        <w:gridCol w:w="542"/>
        <w:gridCol w:w="7796"/>
        <w:gridCol w:w="22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2001510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234756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133263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12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3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1221076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166010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93827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44807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1005782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1002318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49284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49284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2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90216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16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10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80038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2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12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-61084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