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3e353" w14:textId="1c3e3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специально отведенных мест для осуществления выездной
торговли на территории города Булаево района Магжана Жумабаева
Северо-Казахстанской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Магжана Жумабаева Северо-Казахстанской области от 22 октября 2013 года N 389. Зарегистрировано Департаментом юстиции Северо-Казахстанской области 11 ноября 2013 года N 2397. Утратило силу постановлением акимата района Магжана Жумабаева Северо-Казахстанской области от 01 апреля 2014 года N 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   Сноска. Утратило силу постановлением акимата района Магжана Жумабаева Северо-Казахстанской области от 01.04.2014 </w:t>
      </w:r>
      <w:r>
        <w:rPr>
          <w:rFonts w:ascii="Times New Roman"/>
          <w:b w:val="false"/>
          <w:i w:val="false"/>
          <w:color w:val="ff0000"/>
          <w:sz w:val="28"/>
        </w:rPr>
        <w:t>N 75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12 апреля 2004 года «О регулировании торговой деятельности», </w:t>
      </w:r>
      <w:r>
        <w:rPr>
          <w:rFonts w:ascii="Times New Roman"/>
          <w:b w:val="false"/>
          <w:i w:val="false"/>
          <w:color w:val="000000"/>
          <w:sz w:val="28"/>
        </w:rPr>
        <w:t>пунктом 120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внутренней торговли, утвержденных Постановлением Правительства Республики Казахстан от 21 апреля 2005 года № 371 «Об утверждении Правил внутренней торговли», акимат района Магжана Жумабаева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специально отведенные места для осуществления выездной торговли на территории города Булаево района Магжана Жумабаева Северо-Казахстанской области,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района Магжана Жумабаева Северо-Казахстанской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района                               К. Пшенбаев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«Территориальная инспекция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Магжана Жумабаева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государственной инспекции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 агропромышленном комплексе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министерства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Казахстан»                      А.У. Сагандыков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«Управление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санитарно-эпидимиологического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надзора по району Магжана Жумабаева       С.Н. Жигаев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района Магжана Жумабаева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Северо-Казахстанской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22 октября 2013 года № 389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Специально отведенные места для осуществления выездной торговли на территории города Булаево района Магжана Жумабаева Северо-Казахстанской области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0"/>
        <w:gridCol w:w="10900"/>
      </w:tblGrid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0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Места установки автолавки и (или) палатки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0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Сабита Муканова (между автозаправочной станцией и улицей Алии Молдагуловой)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0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Буденного (на прилегающей территории магазина «Светлана»)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0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Нефтеперекачивающая станция (возле здания столовой)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0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Парк «Достық» (в праздничные дни)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0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 площадь (в праздничные дни)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