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879f" w14:textId="25d8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29 декабря 2012 года № 629 "Об организации общественных работ в 2013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16 апреля 2013 года № 255. Зарегистрировано Департаментом юстиции Восточно-Казахстанской области 13 мая 2013 года N 2951. Прекращено действие по истечении срока, на который постановление было принято (письмо аппарата акима Глубоковского района от 21 февраля 2014 года № 516-02-10)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аппарата акима Глубоковского района от 21.02.2014 № 516-02-10).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 подпунктом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29 декабря 2012 года № 629 «Об организации общественных работ в 2013 году» (зарегистрированное в реестре государственной регистрации нормативных правовых актов за номером 2867, опубликованное в районной газете «Огни Прииртышья» от 09 февраля 2013 года № 12, районной газете «Ақ Бұлақ» от 09 февраля 2013 года № 12)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Размер оплаты труда участников утвердить в размере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2013 год. На работах по уборке и благоустройству поселков Глубокое и Белоусовка сумму оплаты труда утвердить из расчета 1,8 минимальной заработной платы.».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Глубоковского района Жумадилова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 Н. Шерубаев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