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297b" w14:textId="bf62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12/2-V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мая 2013 года N 15/2-V. Зарегистрировано Департаментом юстиции Восточно-Казахстанской области 27 мая 2013 года N 2962.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2012 года № 12/2-V «О районном бюджете на 2013-2015 годы» (зарегистрировано в Реестре государственной регистрации нормативных правовых актов за № 2805, опубликовано 15 января 2013 года в газетах «Ақ бұлақ»,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3346942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1418319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1882309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3464302,4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52155,3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-169515,7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- 169515,7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57123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117360,7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27"/>
        <w:gridCol w:w="484"/>
        <w:gridCol w:w="9476"/>
        <w:gridCol w:w="192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3346942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1464633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1418319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184937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2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8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39441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2"/>
        <w:gridCol w:w="791"/>
        <w:gridCol w:w="878"/>
        <w:gridCol w:w="8114"/>
        <w:gridCol w:w="213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3464302,4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298729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70177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171779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2359560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108258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119452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1904776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4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170603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16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17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13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97312,8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49797,8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48262,8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46262,8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41837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93091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13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13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156"/>
        <w:gridCol w:w="2600"/>
      </w:tblGrid>
      <w:tr>
        <w:trPr>
          <w:trHeight w:val="6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10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8556"/>
        <w:gridCol w:w="3200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4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011"/>
        <w:gridCol w:w="2765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383"/>
        <w:gridCol w:w="2476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949"/>
        <w:gridCol w:w="2786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15/2-V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9115"/>
        <w:gridCol w:w="2620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0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