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d43b" w14:textId="84a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
маслихата от 21 декабря 2012 года № 8/2-V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05 ноября 2013 года N 16/2-V. Зарегистрировано Департаментом юстиции Восточно-Казахстанской области 14 ноября 2013 года N 3088.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3 217 588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2 050 610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3 324 094,8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106 506,8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2013 год в сумме 15 541 тысяч 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текущие трансферты из областного бюджета на социальную помощь отдельным категориям нуждающихся граждан в сумме 19 550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текущие трансферты из областного бюджета в сумме 16 253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970 тысяч тенге – на приобретение учебно-методического комплекса для общеобразовательных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трансферты на развитие из областного бюджета в сумме 450 715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50 000 тысяч тенге – на строительство основной средней школы на 120 мест в селе Медведка Шемонаихинского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189 553 тысяч тенге – на строительство средней школы на 180 мест в селе Октябрьское Шемонаихинского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55 499 тысяч тенге – на строительство 30-квартирного коммунального жилого дома по улице Жукова в городе Шемонаиха;»;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55 240 тысяч тенге – на строительство насосной станции второго подъема и резервуаров чистой воды поселка Железнодорожник в городе Шемонаиха;»;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423 тысяч тенге – на инженерные сети и благоустройство для 30-ти квартирного жилого дома по улице Жукова в городе Шемонаиха.»;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текущие трансферты из республиканского бюджета в сумме 182 320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47 961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6), 7), 10) и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села, сельского округа в сумме 137 077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организацию бесплатного подвоза учащихся до школы и обратно в аульной (сельской) местности в сумме 762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освещение улиц населенных пунктов в сумме 24 722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обеспечение санитарии населенных пунктов в сумме 12 646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содержание мест захоронений и погребение безродных в сумме 513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благоустройство и озеленение населенных пунктов в сумме 44 028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50 524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капитальные расходы государственных органов в сумме 3 602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3 550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513"/>
        <w:gridCol w:w="9093"/>
        <w:gridCol w:w="15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3217588</w:t>
            </w:r>
          </w:p>
        </w:tc>
      </w:tr>
      <w:tr>
        <w:trPr>
          <w:trHeight w:val="1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10918,2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803"/>
        <w:gridCol w:w="739"/>
        <w:gridCol w:w="7871"/>
        <w:gridCol w:w="2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3324094,8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274118,8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1538714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компьютерной грамотности населения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6"/>
        <w:gridCol w:w="2488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</w:t>
      </w:r>
      <w:r>
        <w:br/>
      </w:r>
      <w:r>
        <w:rPr>
          <w:rFonts w:ascii="Times New Roman"/>
          <w:b/>
          <w:i w:val="false"/>
          <w:color w:val="000000"/>
        </w:rPr>
        <w:t>
до школы и 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3"/>
        <w:gridCol w:w="2483"/>
      </w:tblGrid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8"/>
        <w:gridCol w:w="2486"/>
      </w:tblGrid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64"/>
        <w:gridCol w:w="2468"/>
      </w:tblGrid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</w:t>
      </w:r>
      <w:r>
        <w:br/>
      </w:r>
      <w:r>
        <w:rPr>
          <w:rFonts w:ascii="Times New Roman"/>
          <w:b/>
          <w:i w:val="false"/>
          <w:color w:val="000000"/>
        </w:rPr>
        <w:t>
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64"/>
        <w:gridCol w:w="2468"/>
      </w:tblGrid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59"/>
        <w:gridCol w:w="2968"/>
      </w:tblGrid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Вавилонского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639"/>
        <w:gridCol w:w="2365"/>
      </w:tblGrid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9"/>
        <w:gridCol w:w="2485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2013 года № 16/2-V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</w:t>
      </w:r>
      <w:r>
        <w:rPr>
          <w:rFonts w:ascii="Times New Roman"/>
          <w:b/>
          <w:i w:val="false"/>
          <w:color w:val="000000"/>
        </w:rPr>
        <w:t>Дорожной карте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1"/>
        <w:gridCol w:w="2485"/>
      </w:tblGrid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