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721" w14:textId="92ef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сельского хозяйства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2013 года № 41. Зарегистрировано Департаментом юстиции Западно-Казахстанской области 8 мая 2013 года № 3288.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информатизации"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</w:t>
      </w:r>
      <w:r>
        <w:rPr>
          <w:rFonts w:ascii="Times New Roman"/>
          <w:b w:val="false"/>
          <w:i w:val="false"/>
          <w:color w:val="1e1e1e"/>
          <w:sz w:val="28"/>
        </w:rPr>
        <w:t>"Выдача лицензии, переоформление, выдача дубликатов лицензии для занятия деятельностью в области ветеринарии"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29.03.2013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в области ветеринарии"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лицензии, переоформление, выдача дубликатов лицензии для занятия деятельностью в области ветеринарии" (далее – электронная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ветеринарии", утвержденного постановлением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база данных "Юридические лица"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получателям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 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 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Формы заполнения запроса и ответа на услугу приведены в веб-портале "Е-лицензирование" www.elicense.kz 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государственное учреждение "Управление сельского хозяйства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через ПЭП (таблица 1) и услугодателя (таблица 2)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области ветеринарии"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пользователя регистрационного свидетельства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 авторизация прошла успешно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09"/>
        <w:gridCol w:w="3409"/>
        <w:gridCol w:w="3410"/>
      </w:tblGrid>
      <w:tr>
        <w:trPr>
          <w:trHeight w:val="67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</w:tr>
      <w:tr>
        <w:trPr>
          <w:trHeight w:val="4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8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5-если не 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оплатил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8-если ЭЦП без ошибки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"Е-лицензирование"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6"/>
        <w:gridCol w:w="3336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</w:tr>
      <w:tr>
        <w:trPr>
          <w:trHeight w:val="169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66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ЮЛ/ 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8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9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5-если есть нарушения в данных 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авторизация прошла успешно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9-если данные по запросу найдены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области ветеринарии"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741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области ветеринарии"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на оказание</w:t>
      </w:r>
      <w:r>
        <w:br/>
      </w:r>
      <w:r>
        <w:rPr>
          <w:rFonts w:ascii="Times New Roman"/>
          <w:b/>
          <w:i w:val="false"/>
          <w:color w:val="000000"/>
        </w:rPr>
        <w:t>
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с выдачей зерновых расписок"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электронная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утвержденного постановлением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база данных "Юридические лица"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получателям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получателемей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  получателя регистрационного свидетельства ЭЦП, процесс ввода получателемем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получателеме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получателемем услуги, указанной в настоящем Регламенте, вывод на экран формы запроса для оказания услуги и заполнение получателемем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 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государственное учреждение "Управление сельского хозяйства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через ПЭП (таблица 1) и услугодателя (таблица 2)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пользователя регистрационного свидетельства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3-если авторизация прошла успешно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09"/>
        <w:gridCol w:w="3409"/>
        <w:gridCol w:w="3410"/>
      </w:tblGrid>
      <w:tr>
        <w:trPr>
          <w:trHeight w:val="67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</w:tr>
      <w:tr>
        <w:trPr>
          <w:trHeight w:val="4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8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5-если не 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оплатил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8-если ЭЦП без ошибки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"Е-лицензирование"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6"/>
        <w:gridCol w:w="3336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</w:tr>
      <w:tr>
        <w:trPr>
          <w:trHeight w:val="169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66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ЮЛ/ 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8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9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5-если есть нарушения в данных 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авторизация прошла успешно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9-если данные по запросу найдены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709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анкеты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"качество" и "доступность"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производству (формуляции)</w:t>
      </w:r>
      <w:r>
        <w:br/>
      </w:r>
      <w:r>
        <w:rPr>
          <w:rFonts w:ascii="Times New Roman"/>
          <w:b/>
          <w:i w:val="false"/>
          <w:color w:val="000000"/>
        </w:rPr>
        <w:t>
пестицидов (ядохимикатов)"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лицензии, переоформление, выдача дубликатов лицензии на осуществление деятельности по производству (формуляции) пестицидов (ядохимикатов)" (далее – электронная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(ядохимикатов)", утвержденного постановлением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"Юридические лица"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получателям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получателемей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  получателя регистрационного свидетельства ЭЦП, процесс ввода получателемем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получателеме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получателемем услуги, указанной в настоящем Регламенте, вывод на экран формы запроса для оказания услуги и заполнение получателемем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 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государственное учреждение "Управление сельского хозяйства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через ПЭП (таблица 1) и услугодателя (таблица 2)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пользователя регистрационного свидетельства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3-если авторизация прошла успешно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09"/>
        <w:gridCol w:w="3409"/>
        <w:gridCol w:w="3410"/>
      </w:tblGrid>
      <w:tr>
        <w:trPr>
          <w:trHeight w:val="67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</w:tr>
      <w:tr>
        <w:trPr>
          <w:trHeight w:val="4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8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5-если не 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оплатил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8-если ЭЦП без ошибки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"Е-лицензирование"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6"/>
        <w:gridCol w:w="3336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</w:tr>
      <w:tr>
        <w:trPr>
          <w:trHeight w:val="169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66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ЮЛ/ 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8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9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5-если есть нарушения в данных 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авторизация прошла успешно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9-если данные по запросу найдены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41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
реализации пестицидов (ядохимикатов)"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лицензии, переоформление, выдача дубликатов лицензии на осуществление деятельности по реализации пестицидов (ядохимикатов)" (далее – электронная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реализации пестицидов (ядохимикатов)", утвержденного постановлением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"Юридические лица"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получателям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получателемей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  получателя регистрационного свидетельства ЭЦП, процесс ввода получателемем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получателеме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получателемем услуги, указанной в настоящем Регламенте, вывод на экран формы запроса для оказания услуги и заполнение получателемем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 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государственное учреждение "Управление сельского хозяйства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через ПЭП (таблица 1) и услугодателя (таблица 2)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 (ядохимикатов)"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пользователя регистрационного свидетельства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3-если авторизация прошла успешно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09"/>
        <w:gridCol w:w="3409"/>
        <w:gridCol w:w="3410"/>
      </w:tblGrid>
      <w:tr>
        <w:trPr>
          <w:trHeight w:val="67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</w:tr>
      <w:tr>
        <w:trPr>
          <w:trHeight w:val="4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8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5-если не 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оплатил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8-если ЭЦП без ошибки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"Е-лицензирование"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6"/>
        <w:gridCol w:w="3336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</w:tr>
      <w:tr>
        <w:trPr>
          <w:trHeight w:val="169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66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ЮЛ/ 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8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9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5-если есть нарушения в данных 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авторизация прошла успешно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9-если данные по запросу найдены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 (ядохимикатов)"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пестицидов (ядохимикатов)"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применению</w:t>
      </w:r>
      <w:r>
        <w:br/>
      </w:r>
      <w:r>
        <w:rPr>
          <w:rFonts w:ascii="Times New Roman"/>
          <w:b/>
          <w:i w:val="false"/>
          <w:color w:val="000000"/>
        </w:rPr>
        <w:t>
пестицидов (ядохимикатов) аэрозольным</w:t>
      </w:r>
      <w:r>
        <w:br/>
      </w:r>
      <w:r>
        <w:rPr>
          <w:rFonts w:ascii="Times New Roman"/>
          <w:b/>
          <w:i w:val="false"/>
          <w:color w:val="000000"/>
        </w:rPr>
        <w:t>
и фумигационным способами"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 (далее – электронная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услугодатель), а также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по адресу: www.e.gov.kz 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по адресу: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способами", утвержденного постановлением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база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"Юридические лица"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получателям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получателемей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  получателя регистрационного свидетельства ЭЦП, процесс ввода получателемем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получателеме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получателемем услуги, указанной в настоящем Регламенте, вывод на экран формы запроса для оказания услуги и заполнение получателемем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 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 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государственное учреждение "Управление сельского хозяйства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1414.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через ПЭП (таблица 1) и услугодателя (таблица 2)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аэрозольным и фумигационным способами"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пользователя регистрационного свидетельства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3-если авторизация прошла успешно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09"/>
        <w:gridCol w:w="3409"/>
        <w:gridCol w:w="3410"/>
      </w:tblGrid>
      <w:tr>
        <w:trPr>
          <w:trHeight w:val="67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</w:tr>
      <w:tr>
        <w:trPr>
          <w:trHeight w:val="4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84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5-если не 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оплатил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8-если ЭЦП без ошибки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03"/>
        <w:gridCol w:w="3303"/>
        <w:gridCol w:w="3303"/>
      </w:tblGrid>
      <w:tr>
        <w:trPr>
          <w:trHeight w:val="67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"Е-лицензирование"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49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6"/>
        <w:gridCol w:w="3336"/>
      </w:tblGrid>
      <w:tr>
        <w:trPr>
          <w:trHeight w:val="67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3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</w:tr>
      <w:tr>
        <w:trPr>
          <w:trHeight w:val="169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166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ЮЛ/ ГБД ФЛ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8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9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5-если есть нарушения в данных 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6-если авторизация прошла успешно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4447"/>
        <w:gridCol w:w="4448"/>
      </w:tblGrid>
      <w:tr>
        <w:trPr>
          <w:trHeight w:val="67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15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9-если данные по запросу найдены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аэрозольным и фумигационным способами"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392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471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