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b6c0" w14:textId="0c6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трансфертов общего характера между областным и районными (городским) бюджетами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2013 года № 14-2. Зарегистрировано Департаментом юстиции Западно-Казахстанской области 20 декабря 2013 года № 3375. Утратило силу решением маслихата Западно-Казахстанской области от 24 февраля 2017 года № 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определяя объемы трансфертов общего характера между областным и районными (городским) бюджетами на 2014-2016 годы в абсолютном выражении с разбивкой по годам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объемы бюджетных субвенций, передаваемые из областного бюджета в районные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2014 год в сумме 22 961 152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Акжаикскому району – 3 076 654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Бокейординскому району – 1 625 218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Жангалинскому району – 1 618 830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Жанибекскому району – 1 525 818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Зеленовскому району – 2 847 293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Казталовскому району – 2 464 432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Каратобинскому району – 1 756 855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Сырымскому району – 2 015 889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Таскалинскому району – 1 503 170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Теректинскому району – 3 015 240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Чингирлаускому району – 1 511 753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2015 год в сумме 23 381 135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Акжаикскому району – 3 127 161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Бокейординскому району – 1 665 801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Жангалинскому району – 1 647 454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Жанибекскому району – 1 557 523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Зеленовскому району – 2 853 038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Казталовскому району – 2 507 992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Каратобинскому району – 1 806 663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Сырымскому району – 2 059 108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Таскалинскому району – 1 531 424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Теректинскому району – 3 079 527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Чингирлаускому району – 1 545 444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2016 год в сумме 23 874 191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Акжаикскому району – 3 187 169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Бокейординскому району – 1 708 586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Жангалинскому району – 1 682 699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Жанибекскому району – 1 592 523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Зеленовскому району – 2 868 000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Казталовскому району – 2 559 657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Каратобинскому району – 1 862 928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Сырымскому району – 2 108 544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Таскалинскому району – 1 563 853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Теректинскому району – 3 155 611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Чингирлаускому району – 1 584 621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бюджетные изъятия из бюджетов Бурлинского района и города Уральска в областной бюджет на 2014-2016 годы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при определении трансфертов общего характера в базу расходов местных бюджетов дополнительно включены мероприятия согласно приложениям 1-9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 и действует до 31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увеличение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обеспечение охраны объектов</w:t>
      </w:r>
      <w:r>
        <w:br/>
      </w:r>
      <w:r>
        <w:rPr>
          <w:rFonts w:ascii="Times New Roman"/>
          <w:b/>
          <w:i w:val="false"/>
          <w:color w:val="000000"/>
        </w:rPr>
        <w:t>(акиматов), исключенных из перечня</w:t>
      </w:r>
      <w:r>
        <w:br/>
      </w:r>
      <w:r>
        <w:rPr>
          <w:rFonts w:ascii="Times New Roman"/>
          <w:b/>
          <w:i w:val="false"/>
          <w:color w:val="000000"/>
        </w:rPr>
        <w:t>объектов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подлежащих государственной охране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238"/>
        <w:gridCol w:w="3541"/>
        <w:gridCol w:w="3541"/>
        <w:gridCol w:w="354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увеличение размера доплаты</w:t>
      </w:r>
      <w:r>
        <w:br/>
      </w:r>
      <w:r>
        <w:rPr>
          <w:rFonts w:ascii="Times New Roman"/>
          <w:b/>
          <w:i w:val="false"/>
          <w:color w:val="000000"/>
        </w:rPr>
        <w:t>за квалификационную категорию,</w:t>
      </w:r>
      <w:r>
        <w:br/>
      </w:r>
      <w:r>
        <w:rPr>
          <w:rFonts w:ascii="Times New Roman"/>
          <w:b/>
          <w:i w:val="false"/>
          <w:color w:val="000000"/>
        </w:rPr>
        <w:t>учителям школ и воспитателям</w:t>
      </w:r>
      <w:r>
        <w:br/>
      </w:r>
      <w:r>
        <w:rPr>
          <w:rFonts w:ascii="Times New Roman"/>
          <w:b/>
          <w:i w:val="false"/>
          <w:color w:val="000000"/>
        </w:rPr>
        <w:t>дошкольных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ежемесячную выплату денежных</w:t>
      </w:r>
      <w:r>
        <w:br/>
      </w:r>
      <w:r>
        <w:rPr>
          <w:rFonts w:ascii="Times New Roman"/>
          <w:b/>
          <w:i w:val="false"/>
          <w:color w:val="000000"/>
        </w:rPr>
        <w:t>средств опекунам (попечителям)</w:t>
      </w:r>
      <w:r>
        <w:br/>
      </w:r>
      <w:r>
        <w:rPr>
          <w:rFonts w:ascii="Times New Roman"/>
          <w:b/>
          <w:i w:val="false"/>
          <w:color w:val="000000"/>
        </w:rPr>
        <w:t>на содержание ребенка сироты</w:t>
      </w:r>
      <w:r>
        <w:br/>
      </w:r>
      <w:r>
        <w:rPr>
          <w:rFonts w:ascii="Times New Roman"/>
          <w:b/>
          <w:i w:val="false"/>
          <w:color w:val="000000"/>
        </w:rPr>
        <w:t>(детей-сирот),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оставшегося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введение стандартов</w:t>
      </w:r>
      <w:r>
        <w:br/>
      </w:r>
      <w:r>
        <w:rPr>
          <w:rFonts w:ascii="Times New Roman"/>
          <w:b/>
          <w:i w:val="false"/>
          <w:color w:val="000000"/>
        </w:rPr>
        <w:t>специальных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26"/>
        <w:gridCol w:w="3457"/>
        <w:gridCol w:w="3457"/>
        <w:gridCol w:w="34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реализацию мер социальной</w:t>
      </w:r>
      <w:r>
        <w:br/>
      </w:r>
      <w:r>
        <w:rPr>
          <w:rFonts w:ascii="Times New Roman"/>
          <w:b/>
          <w:i w:val="false"/>
          <w:color w:val="000000"/>
        </w:rPr>
        <w:t>поддержки специалистов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07"/>
        <w:gridCol w:w="3613"/>
        <w:gridCol w:w="3613"/>
        <w:gridCol w:w="3614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проведение противо-</w:t>
      </w:r>
      <w:r>
        <w:br/>
      </w:r>
      <w:r>
        <w:rPr>
          <w:rFonts w:ascii="Times New Roman"/>
          <w:b/>
          <w:i w:val="false"/>
          <w:color w:val="000000"/>
        </w:rPr>
        <w:t>эпизоотических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экономическому развитию регионов</w:t>
      </w:r>
      <w:r>
        <w:br/>
      </w:r>
      <w:r>
        <w:rPr>
          <w:rFonts w:ascii="Times New Roman"/>
          <w:b/>
          <w:i w:val="false"/>
          <w:color w:val="000000"/>
        </w:rPr>
        <w:t>в рамках Программы "Развитие регионов"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460"/>
        <w:gridCol w:w="3537"/>
        <w:gridCol w:w="3538"/>
        <w:gridCol w:w="353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</w:t>
      </w:r>
      <w:r>
        <w:br/>
      </w:r>
      <w:r>
        <w:rPr>
          <w:rFonts w:ascii="Times New Roman"/>
          <w:b/>
          <w:i w:val="false"/>
          <w:color w:val="000000"/>
        </w:rPr>
        <w:t>на возмещение (до 50 %) стоимости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(крупного и мелкого рогатого скота),</w:t>
      </w:r>
      <w:r>
        <w:br/>
      </w:r>
      <w:r>
        <w:rPr>
          <w:rFonts w:ascii="Times New Roman"/>
          <w:b/>
          <w:i w:val="false"/>
          <w:color w:val="000000"/>
        </w:rPr>
        <w:t>больных бруцеллезом, направляемых</w:t>
      </w:r>
      <w:r>
        <w:br/>
      </w:r>
      <w:r>
        <w:rPr>
          <w:rFonts w:ascii="Times New Roman"/>
          <w:b/>
          <w:i w:val="false"/>
          <w:color w:val="000000"/>
        </w:rPr>
        <w:t>на санитарный убой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26"/>
        <w:gridCol w:w="3457"/>
        <w:gridCol w:w="3457"/>
        <w:gridCol w:w="34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