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a020" w14:textId="6c9a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категории автостоянок (паркингов), увеличений размеров базовых ставок налога на земли, выделенные под автостоянки (паркинги) и единых ставок фиксированного налога в городе Уральск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14 июня 2013 года № 14-9. Зарегистрировано Департаментом юстиции Западно-Казахстанской области 12 июля 2013 года № 3306. Утратило силу решением Уральского городского маслихата Западно-Казахстанской области от 14 декабря 2018 года № 27-7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Уральского городского маслихата Западно-Казахстанской области от 14.12.2018 </w:t>
      </w:r>
      <w:r>
        <w:rPr>
          <w:rFonts w:ascii="Times New Roman"/>
          <w:b w:val="false"/>
          <w:i w:val="false"/>
          <w:color w:val="ff0000"/>
          <w:sz w:val="28"/>
        </w:rPr>
        <w:t>№ 27-7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категории автостоянок (паркингов) и увеличить размеры базовых ставок налога на земли, выделенные под автостоянки (паркинги) в зависимости от категории автостоянок (паркингов) по городу Уральск,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Уральск близлежащим населенным пунктом, базовые ставки на земли, которого будут применяться при исчислении налога на земли других категорий, выделенные под автостоянки (паркинги).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 единые ставки фиксированного налога для всех налогоплательщиков, осуществляющих деятельность на территории города Уральск,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2013 года № 14-9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автостоянок (паркингов),</w:t>
      </w:r>
      <w:r>
        <w:br/>
      </w:r>
      <w:r>
        <w:rPr>
          <w:rFonts w:ascii="Times New Roman"/>
          <w:b/>
          <w:i w:val="false"/>
          <w:color w:val="000000"/>
        </w:rPr>
        <w:t>увеличения размера базовых ставок</w:t>
      </w:r>
      <w:r>
        <w:br/>
      </w:r>
      <w:r>
        <w:rPr>
          <w:rFonts w:ascii="Times New Roman"/>
          <w:b/>
          <w:i w:val="false"/>
          <w:color w:val="000000"/>
        </w:rPr>
        <w:t>налога на земли, выделенные</w:t>
      </w:r>
      <w:r>
        <w:br/>
      </w:r>
      <w:r>
        <w:rPr>
          <w:rFonts w:ascii="Times New Roman"/>
          <w:b/>
          <w:i w:val="false"/>
          <w:color w:val="000000"/>
        </w:rPr>
        <w:t>под автостоянки (паркинги)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38"/>
        <w:gridCol w:w="4111"/>
        <w:gridCol w:w="3545"/>
        <w:gridCol w:w="2606"/>
      </w:tblGrid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автостоянок (паркингов)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базовых ставок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Уральского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2013 года № 14-9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</w:t>
      </w:r>
      <w:r>
        <w:br/>
      </w:r>
      <w:r>
        <w:rPr>
          <w:rFonts w:ascii="Times New Roman"/>
          <w:b/>
          <w:i w:val="false"/>
          <w:color w:val="000000"/>
        </w:rPr>
        <w:t>фиксированного налога на всех</w:t>
      </w:r>
      <w:r>
        <w:br/>
      </w:r>
      <w:r>
        <w:rPr>
          <w:rFonts w:ascii="Times New Roman"/>
          <w:b/>
          <w:i w:val="false"/>
          <w:color w:val="000000"/>
        </w:rPr>
        <w:t>налогоплательщиков, осуществляющих</w:t>
      </w:r>
      <w:r>
        <w:br/>
      </w:r>
      <w:r>
        <w:rPr>
          <w:rFonts w:ascii="Times New Roman"/>
          <w:b/>
          <w:i w:val="false"/>
          <w:color w:val="000000"/>
        </w:rPr>
        <w:t>деятельность на территории города Уральск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5076"/>
        <w:gridCol w:w="1712"/>
        <w:gridCol w:w="4262"/>
      </w:tblGrid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объектов налого-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обложения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игровой автомат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игровой автомат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компьютер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одна игровая дорожка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карт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бильярдный стол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