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4c11" w14:textId="d0a4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категории автостоянок (паркингов), увеличений размеров базовых ставок налога на земли, выделенные под автостоянки (паркинги) и единых ставок фиксированного налога в Бурлинском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8 февраля 2013 года № 9-2. Зарегистрировано Департаментом юстиции Западно-Казахстанской области 4 марта 2013 года № 3194. Утратило силу решением Бурлинского районного маслихата Западно-Казахстанской области от 13 апреля 2018 года № 23-9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13.04.2018 </w:t>
      </w:r>
      <w:r>
        <w:rPr>
          <w:rFonts w:ascii="Times New Roman"/>
          <w:b w:val="false"/>
          <w:i w:val="false"/>
          <w:color w:val="ff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и увеличить размеры базовых ставок налога на земли, выделенные под автостоянки (паркинги) в зависимости от категории автостоянок (паркингов),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город Аксай близлежащим населенным пунктом, базовые ставки, на земли которого будут применяться при исчислении налога на земли других категорий, выделенные под автостоянки (паркинги).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единые ставки фиксированного налога для всех налогоплательщиков, осуществляющих деятельность на территории Бурлинского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от 8 февраля 2013 года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Категория автостоянок (паркингов), увеличения</w:t>
      </w:r>
      <w:r>
        <w:br/>
      </w:r>
      <w:r>
        <w:rPr>
          <w:rFonts w:ascii="Times New Roman"/>
          <w:b/>
          <w:i w:val="false"/>
          <w:color w:val="000000"/>
        </w:rPr>
        <w:t>размеров базовых ставок налога на земли,</w:t>
      </w:r>
      <w:r>
        <w:br/>
      </w:r>
      <w:r>
        <w:rPr>
          <w:rFonts w:ascii="Times New Roman"/>
          <w:b/>
          <w:i w:val="false"/>
          <w:color w:val="000000"/>
        </w:rPr>
        <w:t>выделенные под автостоянки (паркинги)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91"/>
        <w:gridCol w:w="1091"/>
        <w:gridCol w:w="6144"/>
        <w:gridCol w:w="2271"/>
        <w:gridCol w:w="956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стоянок (пар-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кингов)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стоянок (пар-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кингов)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налога на земли, выделенные под автостоянки (паркинги) в городе районного значения. 75 процентов от ставки,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для областного центра (тенге)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налога на земли, выделенные под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 (паркинги) в селе (тенге)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 базовых ставок налога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 (пар-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кинги) откры-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 типа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кинги) закры-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 типа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от 8 февраля 2013 года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на всех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налогоплательщиков,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на территории Бурлинского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5433"/>
        <w:gridCol w:w="1339"/>
        <w:gridCol w:w="4190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налогообложения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объектов налогообложения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игровой автомат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игровой автомат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компьютер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игровая дорожка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игровой стол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