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34adf" w14:textId="f134a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утверждения нормативной численности персонала субъектов естественных монополий, за исключением региональной электросетевой компании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Республики Казахстан по регулированию естественных монополий от 3 марта 2014 года № 49-ОД. Зарегистрирован в Министерстве юстиции Республики Казахстан 4 апреля 2014 года № 9296. Утратил силу приказом Министра национальной экономики Республики Казахстан от 18 марта 2015 года № 222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Министра национальной экономики РК от 18.03.2015 </w:t>
      </w:r>
      <w:r>
        <w:rPr>
          <w:rFonts w:ascii="Times New Roman"/>
          <w:b w:val="false"/>
          <w:i w:val="false"/>
          <w:color w:val="ff0000"/>
          <w:sz w:val="28"/>
        </w:rPr>
        <w:t>№ 222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12-1 и </w:t>
      </w:r>
      <w:r>
        <w:rPr>
          <w:rFonts w:ascii="Times New Roman"/>
          <w:b w:val="false"/>
          <w:i w:val="false"/>
          <w:color w:val="000000"/>
          <w:sz w:val="28"/>
        </w:rPr>
        <w:t>подпунктом 5-1)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13 Закона Республики Казахстан от 9 июля 1998 года «О естественных монополиях и регулируемых рынках»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утверждения нормативной численности персонала субъектов естественных монополий, за исключением региональной электросетевой компании.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регулированию естественных монополий от 5 февраля 2009 года № 29-ОД «Об утверждении Правил утверждения нормативной численности персонала субъектов естественных монополий», (зарегистрированный в Реестре государственной регистрации нормативных правовых актов за № 5568, опубликованный в газете «Официальная газета» от 27 июня 2009 года № 26 (444)).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Департаменту стратегического планирования, сводного анализа и международного сотрудничества Агентства Республики Казахстан по регулированию естественных монополий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установленном законодательством порядке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обеспечить в установленном законодательством порядке его опубликование в официальных средствах массовой информации с последующим представлением в Юридический департамент Агентства Республики Казахстан по регулированию естественных монополий сведений об опубликовании;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опубликование настоящего приказа на интернет-ресурсе Агентства Республики Казахстан по регулированию естественных монополий, после официального опубликования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Департаменту административной работы Агентства Республики Казахстан по регулированию естественных монополий после государственной регистрации настоящего приказа в Министерстве юстиции Республики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срок не превышающий десяти календарных дней направить копию в бумажном и электронном носителе для официального опубликования в Информационно-правовой системе «Әділет»;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довести его до сведения структурных подразделений и территориальных органов Агентства Республики Казахстан по регулированию естественных монополий.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приказа возложить на заместителя Председателя Агентства Республики Казахстан по регулированию естественных монополий Дуйсебаева А.Ж.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  Председатель                               М. Оспанов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 экономики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бюджетного планирования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 Е. Досаев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от 5 марта 2014 год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Председателя Агентства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регулированию естественных монополий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 марта 2014 года № 49-ОД    </w:t>
      </w:r>
    </w:p>
    <w:bookmarkEnd w:id="1"/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 утверждения нормативной численности персонала</w:t>
      </w:r>
      <w:r>
        <w:br/>
      </w:r>
      <w:r>
        <w:rPr>
          <w:rFonts w:ascii="Times New Roman"/>
          <w:b/>
          <w:i w:val="false"/>
          <w:color w:val="000000"/>
        </w:rPr>
        <w:t>
субъектов естественных монополий, за исключением региональной</w:t>
      </w:r>
      <w:r>
        <w:br/>
      </w:r>
      <w:r>
        <w:rPr>
          <w:rFonts w:ascii="Times New Roman"/>
          <w:b/>
          <w:i w:val="false"/>
          <w:color w:val="000000"/>
        </w:rPr>
        <w:t>
электросетевой компании</w:t>
      </w:r>
    </w:p>
    <w:bookmarkEnd w:id="2"/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утверждения нормативной численности персонала субъектов естественных монополий, за исключением региональной электросетевой компании (далее - Правила)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9 июля 1998 года «О естественных монополиях и регулируемых рынках».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Настоящие Правила определяют порядок представления, рассмотрения заявок на утверждение нормативной численности персонала субъектов естественных монополий, за исключением региональной электросетевой компании и их утверждение.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 настоящих Правилах используется следующее понятие: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заявка - официальное обращение (заявление) субъекта естественной монополии в уполномоченный орган об утверждении нормативной численности персонала субъекта естественной монополии.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Иные понятия и термины, используемые в настоящих Правилах, применяются в соответствии с действующим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 естественных монополиях и регулируемых рынках.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Нормативная численность утверждается уполномоченном органом на период, не превышающий срок действия типовых нормативов численности (норм труда), за исключением случаев подачи заявки Субъектом на утверждение нормативной численности, предшествующей </w:t>
      </w:r>
      <w:r>
        <w:rPr>
          <w:rFonts w:ascii="Times New Roman"/>
          <w:b w:val="false"/>
          <w:i w:val="false"/>
          <w:color w:val="000000"/>
          <w:sz w:val="28"/>
        </w:rPr>
        <w:t>подаче заявки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утверждение предельного уровня тарифов (цен, ставок сборов) и тарифных смет на регулируемые услуги (товары, работы) Субъекта.</w:t>
      </w:r>
    </w:p>
    <w:bookmarkEnd w:id="4"/>
    <w:bookmarkStart w:name="z1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представления заявки на утверждение</w:t>
      </w:r>
      <w:r>
        <w:br/>
      </w:r>
      <w:r>
        <w:rPr>
          <w:rFonts w:ascii="Times New Roman"/>
          <w:b/>
          <w:i w:val="false"/>
          <w:color w:val="000000"/>
        </w:rPr>
        <w:t>
нормативной численности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Субъект естественной монополии (далее - Субъект) представляет в уполномоченный орган заявку на утверждение нормативной численности персонала (далее - нормативная численность), применяемой при рассмотрении и утверждении тарифов (цен, ставок сборов) на регулируемые услуги (товары, работы), на бумажном и электронном носителях с приложением обосновывающих материалов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К заявке на утверждение нормативной численности прилагаются: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сопроводительное письмо с перечнем представляемых материалов на официальном бланке Субъекта;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материалы, обосновывающие расчет нормативной численности (необходимые расчеты для определения нормативной численности, перечень оборудования, связанных с оказанием регулируемых услуг и его характеристики);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сводная таблица данных нормативной численности и ранее утвержденной нормативной численности персонала за прошедший период, а также сложившейся фактической численности работников за текущий период и предыдущие два года по филиалам, представительствам и (или) структурным подразделениям Субъекта и категориям персонала (производственного персонала, административного персонала, а также персонала, занятого в обслуживающих хозяйствах и производствах), составленная по форме согласно приложению к настоящим Правилам, в том числе в электронном виде;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типовые нормативы численности принимаемые в основу расчетов нормативной численности, утвержденные и согласованные в порядке, предусмотренном 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утверждения, замены и пересмотра типовых норм и нормативов по труду государственными органами соответствующих сфер деятельности, утвержденными приказом Министра труда и социальной защиты населения Республики Казахстан от 19 июля 2007 года № 166-п;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отчет по труду за текущий год и предшествующие два года (форма 1-т), утвержденный согласно </w:t>
      </w:r>
      <w:r>
        <w:rPr>
          <w:rFonts w:ascii="Times New Roman"/>
          <w:b w:val="false"/>
          <w:i w:val="false"/>
          <w:color w:val="000000"/>
          <w:sz w:val="28"/>
        </w:rPr>
        <w:t>подпункту 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 Республики Казахстан от 19 марта 2010 года «О государственной статистике». Для вновь созданных Субъектов - отчет по труду за период работы, с момента образования Субъекта, как юридического лица.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Прилагаемые к заявке расчеты и обосновывающие материалы заявки прошиваются, пронумеровываются, заверяются печатью и подписью первого руководителя Субъекта, либо лицом его замещающим (с приложением копии приказа Субъекта о возложении обязанностей первого руководителя).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Уполномоченный орган в течении пяти рабочих дней со дня получения заявки проверяет полноту представленных материалов и в письменной форме уведомляет Субъекта о принятии заявки к рассмотрению либо о мотивированном отказе в ее принятии. Основаниями для отказа в принятии заявки Субъекта к рассмотрению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непредставление или представление не в полном объеме документов и информации,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представление документов с нарушением требований 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В случае отказа в принятии заявки Субъекта к рассмотрению по основаниям,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Субъект обращается в уполномоченный орган с повторной заявкой.</w:t>
      </w:r>
    </w:p>
    <w:bookmarkEnd w:id="6"/>
    <w:bookmarkStart w:name="z2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Порядок рассмотрения заявки и утверждения</w:t>
      </w:r>
      <w:r>
        <w:br/>
      </w:r>
      <w:r>
        <w:rPr>
          <w:rFonts w:ascii="Times New Roman"/>
          <w:b/>
          <w:i w:val="false"/>
          <w:color w:val="000000"/>
        </w:rPr>
        <w:t>
нормативной численности</w:t>
      </w:r>
    </w:p>
    <w:bookmarkEnd w:id="7"/>
    <w:bookmarkStart w:name="z2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Заявка рассматривается уполномоченным органом в течение тридцати календарных дней. Срок рассмотрения заявки исчисляется со дня поступления заявки в уполномоченный орган.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Уполномоченный орган проводит корректировку предлагаемого или действующего уровня нормативной численности персонала на основе анализа представленных Субъектом расчетов, типовых нормативов численности и материалов, обосновывающих расчет нормативной численности.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Решение уполномоченного органа об утверждении нормативной численности Субъекта оформляется приказом уполномоченного органа.</w:t>
      </w:r>
    </w:p>
    <w:bookmarkEnd w:id="8"/>
    <w:bookmarkStart w:name="z2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утверждения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нормативной численности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персонала субъектов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естественных монополий,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 исключением региональной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электросетевой компании   </w:t>
      </w:r>
    </w:p>
    <w:bookmarkEnd w:id="9"/>
    <w:bookmarkStart w:name="z2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            </w:t>
      </w:r>
    </w:p>
    <w:bookmarkEnd w:id="10"/>
    <w:bookmarkStart w:name="z2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 </w:t>
      </w:r>
      <w:r>
        <w:rPr>
          <w:rFonts w:ascii="Times New Roman"/>
          <w:b/>
          <w:i w:val="false"/>
          <w:color w:val="000000"/>
          <w:sz w:val="28"/>
        </w:rPr>
        <w:t>Сводная таблица нормативной и фактической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 </w:t>
      </w:r>
      <w:r>
        <w:rPr>
          <w:rFonts w:ascii="Times New Roman"/>
          <w:b/>
          <w:i w:val="false"/>
          <w:color w:val="000000"/>
          <w:sz w:val="28"/>
        </w:rPr>
        <w:t>численности за текущий и прошедшие периоды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61"/>
        <w:gridCol w:w="2849"/>
        <w:gridCol w:w="1877"/>
        <w:gridCol w:w="1878"/>
        <w:gridCol w:w="1877"/>
        <w:gridCol w:w="1878"/>
      </w:tblGrid>
      <w:tr>
        <w:trPr>
          <w:trHeight w:val="30" w:hRule="atLeast"/>
        </w:trPr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Нормативная численность </w:t>
            </w:r>
          </w:p>
        </w:tc>
      </w:tr>
      <w:tr>
        <w:trPr>
          <w:trHeight w:val="30" w:hRule="atLeast"/>
        </w:trPr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регулируемых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 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персонал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персонал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Персонал, занятый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обслуживающих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производствах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хозяйствах</w:t>
            </w:r>
          </w:p>
        </w:tc>
      </w:tr>
      <w:tr>
        <w:trPr>
          <w:trHeight w:val="30" w:hRule="atLeast"/>
        </w:trPr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Ранее утвержденная нормативная численность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прошедший период </w:t>
            </w:r>
          </w:p>
        </w:tc>
      </w:tr>
      <w:tr>
        <w:trPr>
          <w:trHeight w:val="30" w:hRule="atLeast"/>
        </w:trPr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персонал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персонал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Персонал, занятый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обслуживающих производствах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хозяйствах</w:t>
            </w:r>
          </w:p>
        </w:tc>
      </w:tr>
      <w:tr>
        <w:trPr>
          <w:trHeight w:val="465" w:hRule="atLeast"/>
        </w:trPr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Фактическая численность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текущий период </w:t>
            </w:r>
          </w:p>
        </w:tc>
      </w:tr>
      <w:tr>
        <w:trPr>
          <w:trHeight w:val="30" w:hRule="atLeast"/>
        </w:trPr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Производственный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персонал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персонал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Персонал, занятый в обслуживающих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производствах и хозяйствах </w:t>
            </w:r>
          </w:p>
        </w:tc>
      </w:tr>
      <w:tr>
        <w:trPr>
          <w:trHeight w:val="30" w:hRule="atLeast"/>
        </w:trPr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</w:tr>
      <w:tr>
        <w:trPr>
          <w:trHeight w:val="46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Фактическая численность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предыдущие 2 года </w:t>
            </w:r>
          </w:p>
        </w:tc>
      </w:tr>
      <w:tr>
        <w:trPr>
          <w:trHeight w:val="30" w:hRule="atLeast"/>
        </w:trPr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персонал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персонал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Персонал,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занятый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обслуживающих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производствах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хозяйствах 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персонал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персонал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Персонал,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занятый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обслуживающих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хозяйствах </w:t>
            </w:r>
          </w:p>
        </w:tc>
      </w:tr>
      <w:tr>
        <w:trPr>
          <w:trHeight w:val="30" w:hRule="atLeast"/>
        </w:trPr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