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9d9e" w14:textId="d139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пруденциального норматива для организаций, осуществляющих управление инвестиционным портфелем, утверждении Правил расчета значений пруденциального норматива для организаций, осуществляющих управление инвестиционным портфелем и внесении изменений и дополнений в некоторые нормативные правовые акты Республики Казахстан по вопросам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февраля 2014 года № 7. Зарегистрировано в Министерстве юстиции Республики Казахстан 13 мая 2014 года № 9410. Утратило силу постановлением Правления Национального Банка Республики Казахстан от 27 апреля 2018 года № 79, за исключением подпункта 2) пункта 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27.04.2018 </w:t>
      </w:r>
      <w:r>
        <w:rPr>
          <w:rFonts w:ascii="Times New Roman"/>
          <w:b w:val="false"/>
          <w:i w:val="false"/>
          <w:color w:val="ff0000"/>
          <w:sz w:val="28"/>
        </w:rPr>
        <w:t>№ 79</w:t>
      </w:r>
      <w:r>
        <w:rPr>
          <w:rFonts w:ascii="Times New Roman"/>
          <w:b w:val="false"/>
          <w:i w:val="false"/>
          <w:color w:val="ff0000"/>
          <w:sz w:val="28"/>
        </w:rPr>
        <w:t>, за исключением подпункта 2) пункта 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в редакции постановления Правления Национального Банка РК от 27.03.2017 </w:t>
            </w:r>
            <w:r>
              <w:rPr>
                <w:rFonts w:ascii="Times New Roman"/>
                <w:b w:val="false"/>
                <w:i w:val="false"/>
                <w:color w:val="ff0000"/>
                <w:sz w:val="20"/>
              </w:rPr>
              <w:t>№ 54</w:t>
            </w:r>
            <w:r>
              <w:rPr>
                <w:rFonts w:ascii="Times New Roman"/>
                <w:b w:val="false"/>
                <w:i w:val="false"/>
                <w:color w:val="ff0000"/>
                <w:sz w:val="20"/>
              </w:rPr>
              <w:t xml:space="preserve"> (вводится в действие с 01.06.2017).</w:t>
            </w:r>
          </w:p>
          <w:p>
            <w:pPr>
              <w:spacing w:after="20"/>
              <w:ind w:left="20"/>
              <w:jc w:val="both"/>
            </w:pPr>
            <w:r>
              <w:rPr>
                <w:rFonts w:ascii="Times New Roman"/>
                <w:b w:val="false"/>
                <w:i w:val="false"/>
                <w:color w:val="000000"/>
                <w:sz w:val="20"/>
              </w:rPr>
              <w:t>
</w:t>
            </w:r>
            <w:r>
              <w:rPr>
                <w:rFonts w:ascii="Times New Roman"/>
                <w:b/>
                <w:i w:val="false"/>
                <w:color w:val="000000"/>
                <w:sz w:val="20"/>
              </w:rPr>
              <w:t>В соответствии с законами Республики Казахстан от 2 июля 2003 года "</w:t>
            </w:r>
            <w:r>
              <w:rPr>
                <w:rFonts w:ascii="Times New Roman"/>
                <w:b w:val="false"/>
                <w:i w:val="false"/>
                <w:color w:val="000000"/>
                <w:sz w:val="20"/>
              </w:rPr>
              <w:t>О рынке ценных бумаг</w:t>
            </w:r>
            <w:r>
              <w:rPr>
                <w:rFonts w:ascii="Times New Roman"/>
                <w:b/>
                <w:i w:val="false"/>
                <w:color w:val="000000"/>
                <w:sz w:val="20"/>
              </w:rPr>
              <w:t>" от 4 июля 2003 года, "</w:t>
            </w:r>
            <w:r>
              <w:rPr>
                <w:rFonts w:ascii="Times New Roman"/>
                <w:b w:val="false"/>
                <w:i w:val="false"/>
                <w:color w:val="000000"/>
                <w:sz w:val="20"/>
              </w:rPr>
              <w:t>О государственном регулировании, контроле и надзоре финансового рынка и финансовых организаций</w:t>
            </w:r>
            <w:r>
              <w:rPr>
                <w:rFonts w:ascii="Times New Roman"/>
                <w:b/>
                <w:i w:val="false"/>
                <w:color w:val="000000"/>
                <w:sz w:val="20"/>
              </w:rPr>
              <w:t xml:space="preserve">" Правление Национального Банка Республики Казахстан </w:t>
            </w:r>
            <w:r>
              <w:rPr>
                <w:rFonts w:ascii="Times New Roman"/>
                <w:b/>
                <w:i w:val="false"/>
                <w:color w:val="000000"/>
                <w:sz w:val="20"/>
              </w:rPr>
              <w:t>ПОСТАНОВЛЯЕТ</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Установить для организаций, осуществляющих управление инвестиционным портфелем, </w:t>
            </w:r>
            <w:r>
              <w:rPr>
                <w:rFonts w:ascii="Times New Roman"/>
                <w:b/>
                <w:i w:val="false"/>
                <w:color w:val="000000"/>
                <w:sz w:val="20"/>
              </w:rPr>
              <w:t>пруденциальный</w:t>
            </w:r>
            <w:r>
              <w:rPr>
                <w:rFonts w:ascii="Times New Roman"/>
                <w:b/>
                <w:i w:val="false"/>
                <w:color w:val="000000"/>
                <w:sz w:val="20"/>
              </w:rPr>
              <w:t xml:space="preserve"> норматив "Коэффициент достаточности собственного капитала".</w:t>
            </w:r>
          </w:p>
          <w:p>
            <w:pPr>
              <w:spacing w:after="20"/>
              <w:ind w:left="20"/>
              <w:jc w:val="both"/>
            </w:pPr>
            <w:r>
              <w:rPr>
                <w:rFonts w:ascii="Times New Roman"/>
                <w:b w:val="false"/>
                <w:i w:val="false"/>
                <w:color w:val="000000"/>
                <w:sz w:val="20"/>
              </w:rPr>
              <w:t>
</w:t>
            </w:r>
            <w:r>
              <w:rPr>
                <w:rFonts w:ascii="Times New Roman"/>
                <w:b/>
                <w:i w:val="false"/>
                <w:color w:val="000000"/>
                <w:sz w:val="20"/>
              </w:rPr>
              <w:t>Значение коэффициента достаточности собственного капитала ежедневно должно составлять не менее 1.</w:t>
            </w:r>
          </w:p>
          <w:p>
            <w:pPr>
              <w:spacing w:after="20"/>
              <w:ind w:left="20"/>
              <w:jc w:val="both"/>
            </w:pPr>
            <w:r>
              <w:rPr>
                <w:rFonts w:ascii="Times New Roman"/>
                <w:b w:val="false"/>
                <w:i w:val="false"/>
                <w:color w:val="000000"/>
                <w:sz w:val="20"/>
              </w:rPr>
              <w:t>
</w:t>
            </w:r>
            <w:r>
              <w:rPr>
                <w:rFonts w:ascii="Times New Roman"/>
                <w:b/>
                <w:i w:val="false"/>
                <w:color w:val="000000"/>
                <w:sz w:val="20"/>
              </w:rPr>
              <w:t>2. Утвердить:</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 xml:space="preserve">прилагаемые Правила расчета значений </w:t>
            </w:r>
            <w:r>
              <w:rPr>
                <w:rFonts w:ascii="Times New Roman"/>
                <w:b/>
                <w:i w:val="false"/>
                <w:color w:val="000000"/>
                <w:sz w:val="20"/>
              </w:rPr>
              <w:t>пруденциального</w:t>
            </w:r>
            <w:r>
              <w:rPr>
                <w:rFonts w:ascii="Times New Roman"/>
                <w:b/>
                <w:i w:val="false"/>
                <w:color w:val="000000"/>
                <w:sz w:val="20"/>
              </w:rPr>
              <w:t xml:space="preserve"> норматива для организаций, осуществляющих управление инвестиционным портфелем согласно </w:t>
            </w:r>
            <w:r>
              <w:rPr>
                <w:rFonts w:ascii="Times New Roman"/>
                <w:b w:val="false"/>
                <w:i w:val="false"/>
                <w:color w:val="000000"/>
                <w:sz w:val="20"/>
              </w:rPr>
              <w:t>приложению 1</w:t>
            </w:r>
            <w:r>
              <w:rPr>
                <w:rFonts w:ascii="Times New Roman"/>
                <w:b/>
                <w:i w:val="false"/>
                <w:color w:val="000000"/>
                <w:sz w:val="20"/>
              </w:rPr>
              <w:t xml:space="preserve"> к настоящему постановлению;</w:t>
            </w:r>
          </w:p>
        </w:tc>
      </w:tr>
    </w:tbl>
    <w:bookmarkStart w:name="z6" w:id="0"/>
    <w:p>
      <w:pPr>
        <w:spacing w:after="0"/>
        <w:ind w:left="0"/>
        <w:jc w:val="both"/>
      </w:pPr>
      <w:r>
        <w:rPr>
          <w:rFonts w:ascii="Times New Roman"/>
          <w:b w:val="false"/>
          <w:i w:val="false"/>
          <w:color w:val="000000"/>
          <w:sz w:val="28"/>
        </w:rPr>
        <w:t xml:space="preserve">
      2) прилагаемый Перечень нормативных правовых актов Республики Казахстан по вопросам деятельности на рынке ценных бумаг, в которые вносятся изменения и дополнения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Признать утратившими силу нормативные правовые акты Республики Казахстан согласно </w:t>
            </w:r>
            <w:r>
              <w:rPr>
                <w:rFonts w:ascii="Times New Roman"/>
                <w:b w:val="false"/>
                <w:i w:val="false"/>
                <w:color w:val="000000"/>
                <w:sz w:val="20"/>
              </w:rPr>
              <w:t>приложению 3</w:t>
            </w:r>
            <w:r>
              <w:rPr>
                <w:rFonts w:ascii="Times New Roman"/>
                <w:b/>
                <w:i w:val="false"/>
                <w:color w:val="000000"/>
                <w:sz w:val="20"/>
              </w:rPr>
              <w:t xml:space="preserve"> к настоящему постановлению.</w:t>
            </w:r>
          </w:p>
          <w:p>
            <w:pPr>
              <w:spacing w:after="20"/>
              <w:ind w:left="20"/>
              <w:jc w:val="both"/>
            </w:pPr>
            <w:r>
              <w:rPr>
                <w:rFonts w:ascii="Times New Roman"/>
                <w:b w:val="false"/>
                <w:i w:val="false"/>
                <w:color w:val="000000"/>
                <w:sz w:val="20"/>
              </w:rPr>
              <w:t>
</w:t>
            </w:r>
            <w:r>
              <w:rPr>
                <w:rFonts w:ascii="Times New Roman"/>
                <w:b/>
                <w:i w:val="false"/>
                <w:color w:val="000000"/>
                <w:sz w:val="20"/>
              </w:rPr>
              <w:t>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r>
                    <w:rPr>
                      <w:rFonts w:ascii="Times New Roman"/>
                      <w:b/>
                      <w:i w:val="false"/>
                      <w:color w:val="000000"/>
                      <w:sz w:val="20"/>
                    </w:rPr>
                    <w:t>Келимбетов</w:t>
                  </w:r>
                </w:p>
              </w:tc>
            </w:tr>
          </w:tbl>
          <w:p/>
          <w:p>
            <w:pPr>
              <w:spacing w:after="20"/>
              <w:ind w:left="20"/>
              <w:jc w:val="both"/>
            </w:pPr>
            <w:r>
              <w:rPr>
                <w:rFonts w:ascii="Times New Roman"/>
                <w:b w:val="false"/>
                <w:i w:val="false"/>
                <w:color w:val="000000"/>
                <w:sz w:val="20"/>
              </w:rPr>
              <w:t>
</w:t>
            </w:r>
            <w:r>
              <w:rPr>
                <w:rFonts w:ascii="Times New Roman"/>
                <w:b/>
                <w:i w:val="false"/>
                <w:color w:val="000000"/>
                <w:sz w:val="20"/>
              </w:rPr>
              <w:t xml:space="preserve">СОГЛАСОВАНО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Председатель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Агентства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по</w:t>
            </w:r>
            <w:r>
              <w:rPr>
                <w:rFonts w:ascii="Times New Roman"/>
                <w:b/>
                <w:i w:val="false"/>
                <w:color w:val="000000"/>
                <w:sz w:val="20"/>
              </w:rPr>
              <w:t xml:space="preserve"> статистике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Смаилов</w:t>
            </w:r>
            <w:r>
              <w:rPr>
                <w:rFonts w:ascii="Times New Roman"/>
                <w:b/>
                <w:i w:val="false"/>
                <w:color w:val="000000"/>
                <w:sz w:val="20"/>
              </w:rPr>
              <w:t xml:space="preserve"> 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11 апреля 2014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w:t>
                  </w:r>
                  <w:r>
                    <w:br/>
                  </w:r>
                  <w:r>
                    <w:rPr>
                      <w:rFonts w:ascii="Times New Roman"/>
                      <w:b/>
                      <w:i w:val="false"/>
                      <w:color w:val="000000"/>
                      <w:sz w:val="20"/>
                    </w:rPr>
                    <w:t>к постановлению Правления</w:t>
                  </w:r>
                  <w:r>
                    <w:br/>
                  </w:r>
                  <w:r>
                    <w:rPr>
                      <w:rFonts w:ascii="Times New Roman"/>
                      <w:b/>
                      <w:i w:val="false"/>
                      <w:color w:val="000000"/>
                      <w:sz w:val="20"/>
                    </w:rPr>
                    <w:t>Национального Банка</w:t>
                  </w:r>
                  <w:r>
                    <w:br/>
                  </w:r>
                  <w:r>
                    <w:rPr>
                      <w:rFonts w:ascii="Times New Roman"/>
                      <w:b/>
                      <w:i w:val="false"/>
                      <w:color w:val="000000"/>
                      <w:sz w:val="20"/>
                    </w:rPr>
                    <w:t>Республики Казахстан</w:t>
                  </w:r>
                  <w:r>
                    <w:br/>
                  </w:r>
                  <w:r>
                    <w:rPr>
                      <w:rFonts w:ascii="Times New Roman"/>
                      <w:b/>
                      <w:i w:val="false"/>
                      <w:color w:val="000000"/>
                      <w:sz w:val="20"/>
                    </w:rPr>
                    <w:t xml:space="preserve">от 3 февраля 2014 года № 7 </w:t>
                  </w:r>
                </w:p>
              </w:tc>
            </w:tr>
          </w:tbl>
          <w:p/>
          <w:p>
            <w:pPr>
              <w:spacing w:after="0"/>
              <w:ind w:left="0"/>
              <w:jc w:val="both"/>
            </w:pPr>
            <w:r>
              <w:rPr>
                <w:rFonts w:ascii="Times New Roman"/>
                <w:b/>
                <w:i w:val="false"/>
                <w:color w:val="000000"/>
              </w:rPr>
              <w:t xml:space="preserve"> Правила расчета значений пруденциального норматива для организаций, осуществляющих управление инвестиционным портфелем</w:t>
            </w:r>
          </w:p>
          <w:p>
            <w:pPr>
              <w:spacing w:after="20"/>
              <w:ind w:left="20"/>
              <w:jc w:val="both"/>
            </w:pPr>
            <w:r>
              <w:rPr>
                <w:rFonts w:ascii="Times New Roman"/>
                <w:b w:val="false"/>
                <w:i w:val="false"/>
                <w:color w:val="ff0000"/>
                <w:sz w:val="20"/>
              </w:rPr>
              <w:t xml:space="preserve">
Сноска. Заголовок в редакции постановления Правления Национального Банка РК от 27.03.2017 </w:t>
            </w:r>
            <w:r>
              <w:rPr>
                <w:rFonts w:ascii="Times New Roman"/>
                <w:b w:val="false"/>
                <w:i w:val="false"/>
                <w:color w:val="ff0000"/>
                <w:sz w:val="20"/>
              </w:rPr>
              <w:t>№ 54</w:t>
            </w:r>
            <w:r>
              <w:rPr>
                <w:rFonts w:ascii="Times New Roman"/>
                <w:b w:val="false"/>
                <w:i w:val="false"/>
                <w:color w:val="ff0000"/>
                <w:sz w:val="20"/>
              </w:rPr>
              <w:t xml:space="preserve"> (вводится в действие с 01.06.2017).</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Настоящие Правила расчета </w:t>
            </w:r>
            <w:r>
              <w:rPr>
                <w:rFonts w:ascii="Times New Roman"/>
                <w:b/>
                <w:i w:val="false"/>
                <w:color w:val="000000"/>
                <w:sz w:val="20"/>
              </w:rPr>
              <w:t>пруденциального</w:t>
            </w:r>
            <w:r>
              <w:rPr>
                <w:rFonts w:ascii="Times New Roman"/>
                <w:b/>
                <w:i w:val="false"/>
                <w:color w:val="000000"/>
                <w:sz w:val="20"/>
              </w:rPr>
              <w:t xml:space="preserve"> норматива для организаций, осуществляющих управление инвестиционным портфелем (далее - Правила), разработаны в соответствии с законами Республики Казахстан от 2 июля 2003 года "</w:t>
            </w:r>
            <w:r>
              <w:rPr>
                <w:rFonts w:ascii="Times New Roman"/>
                <w:b w:val="false"/>
                <w:i w:val="false"/>
                <w:color w:val="000000"/>
                <w:sz w:val="20"/>
              </w:rPr>
              <w:t>О рынке ценных бумаг</w:t>
            </w:r>
            <w:r>
              <w:rPr>
                <w:rFonts w:ascii="Times New Roman"/>
                <w:b/>
                <w:i w:val="false"/>
                <w:color w:val="000000"/>
                <w:sz w:val="20"/>
              </w:rPr>
              <w:t>", от 4 июля 2003 года "</w:t>
            </w:r>
            <w:r>
              <w:rPr>
                <w:rFonts w:ascii="Times New Roman"/>
                <w:b w:val="false"/>
                <w:i w:val="false"/>
                <w:color w:val="000000"/>
                <w:sz w:val="20"/>
              </w:rPr>
              <w:t>О государственном регулировании, контроле и надзоре финансового рынка и финансовых организаций</w:t>
            </w:r>
            <w:r>
              <w:rPr>
                <w:rFonts w:ascii="Times New Roman"/>
                <w:b/>
                <w:i w:val="false"/>
                <w:color w:val="000000"/>
                <w:sz w:val="20"/>
              </w:rPr>
              <w:t xml:space="preserve">" и устанавливают порядок расчета </w:t>
            </w:r>
            <w:r>
              <w:rPr>
                <w:rFonts w:ascii="Times New Roman"/>
                <w:b/>
                <w:i w:val="false"/>
                <w:color w:val="000000"/>
                <w:sz w:val="20"/>
              </w:rPr>
              <w:t>пруденциального</w:t>
            </w:r>
            <w:r>
              <w:rPr>
                <w:rFonts w:ascii="Times New Roman"/>
                <w:b/>
                <w:i w:val="false"/>
                <w:color w:val="000000"/>
                <w:sz w:val="20"/>
              </w:rPr>
              <w:t xml:space="preserve"> норматива "Коэффициент достаточности собственного капитала", обязательного к соблюдению организациями, осуществляющими управление инвестиционным портфелем (далее - управляющий инвестиционным портфелем).</w:t>
            </w:r>
          </w:p>
          <w:p>
            <w:pPr>
              <w:spacing w:after="20"/>
              <w:ind w:left="20"/>
              <w:jc w:val="both"/>
            </w:pPr>
            <w:r>
              <w:rPr>
                <w:rFonts w:ascii="Times New Roman"/>
                <w:b w:val="false"/>
                <w:i w:val="false"/>
                <w:color w:val="000000"/>
                <w:sz w:val="20"/>
              </w:rPr>
              <w:t>
</w:t>
            </w:r>
            <w:r>
              <w:rPr>
                <w:rFonts w:ascii="Times New Roman"/>
                <w:b/>
                <w:i w:val="false"/>
                <w:color w:val="000000"/>
                <w:sz w:val="20"/>
              </w:rPr>
              <w:t>Правила не распространяются на организации, осуществляющие управление инвестиционным портфелем с правом привлечения добровольных пенсионных взносов.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Золотовалютные активы Национального Банка Республики Казахстан и активы Национального фонда Республики Казахстан, переданные в доверительное управление, не учитываются при расчете </w:t>
            </w:r>
            <w:r>
              <w:rPr>
                <w:rFonts w:ascii="Times New Roman"/>
                <w:b/>
                <w:i w:val="false"/>
                <w:color w:val="000000"/>
                <w:sz w:val="20"/>
              </w:rPr>
              <w:t>пруденциального</w:t>
            </w:r>
            <w:r>
              <w:rPr>
                <w:rFonts w:ascii="Times New Roman"/>
                <w:b/>
                <w:i w:val="false"/>
                <w:color w:val="000000"/>
                <w:sz w:val="20"/>
              </w:rPr>
              <w:t xml:space="preserve"> норматива организации, осуществляющей управление инвестиционным портфелем.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Нормы, предусмотренные Правилами, в части </w:t>
            </w:r>
            <w:r>
              <w:rPr>
                <w:rFonts w:ascii="Times New Roman"/>
                <w:b/>
                <w:i w:val="false"/>
                <w:color w:val="000000"/>
                <w:sz w:val="20"/>
              </w:rPr>
              <w:t>аффилиированных</w:t>
            </w:r>
            <w:r>
              <w:rPr>
                <w:rFonts w:ascii="Times New Roman"/>
                <w:b/>
                <w:i w:val="false"/>
                <w:color w:val="000000"/>
                <w:sz w:val="20"/>
              </w:rPr>
              <w:t xml:space="preserve"> лиц управляющего инвестиционным портфелем не применяются к юридическим лицам и их </w:t>
            </w:r>
            <w:r>
              <w:rPr>
                <w:rFonts w:ascii="Times New Roman"/>
                <w:b/>
                <w:i w:val="false"/>
                <w:color w:val="000000"/>
                <w:sz w:val="20"/>
              </w:rPr>
              <w:t>аффилиированным</w:t>
            </w:r>
            <w:r>
              <w:rPr>
                <w:rFonts w:ascii="Times New Roman"/>
                <w:b w:val="false"/>
                <w:i w:val="false"/>
                <w:color w:val="000000"/>
                <w:sz w:val="20"/>
              </w:rPr>
              <w:t xml:space="preserve"> </w:t>
            </w:r>
            <w:r>
              <w:rPr>
                <w:rFonts w:ascii="Times New Roman"/>
                <w:b/>
                <w:i w:val="false"/>
                <w:color w:val="000000"/>
                <w:sz w:val="20"/>
              </w:rPr>
              <w:t xml:space="preserve">лицам, являющимся </w:t>
            </w:r>
            <w:r>
              <w:rPr>
                <w:rFonts w:ascii="Times New Roman"/>
                <w:b/>
                <w:i w:val="false"/>
                <w:color w:val="000000"/>
                <w:sz w:val="20"/>
              </w:rPr>
              <w:t>аффилиированными</w:t>
            </w:r>
            <w:r>
              <w:rPr>
                <w:rFonts w:ascii="Times New Roman"/>
                <w:b/>
                <w:i w:val="false"/>
                <w:color w:val="000000"/>
                <w:sz w:val="20"/>
              </w:rPr>
              <w:t xml:space="preserve"> с управляющим инвестиционным портфелем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w:t>
            </w:r>
            <w:r>
              <w:rPr>
                <w:rFonts w:ascii="Times New Roman"/>
                <w:b/>
                <w:i w:val="false"/>
                <w:color w:val="000000"/>
                <w:sz w:val="20"/>
              </w:rPr>
              <w:t>Самрук-Казына</w:t>
            </w:r>
            <w:r>
              <w:rPr>
                <w:rFonts w:ascii="Times New Roman"/>
                <w:b/>
                <w:i w:val="false"/>
                <w:color w:val="000000"/>
                <w:sz w:val="20"/>
              </w:rPr>
              <w:t>".</w:t>
            </w:r>
          </w:p>
          <w:p>
            <w:pPr>
              <w:spacing w:after="0"/>
              <w:ind w:left="0"/>
              <w:jc w:val="both"/>
            </w:pPr>
            <w:r>
              <w:rPr>
                <w:rFonts w:ascii="Times New Roman"/>
                <w:b/>
                <w:i w:val="false"/>
                <w:color w:val="000000"/>
              </w:rPr>
              <w:t xml:space="preserve"> 1. Порядок расчета пруденциального норматива - "Коэффициент</w:t>
            </w:r>
            <w:r>
              <w:br/>
            </w:r>
            <w:r>
              <w:rPr>
                <w:rFonts w:ascii="Times New Roman"/>
                <w:b/>
                <w:i w:val="false"/>
                <w:color w:val="000000"/>
              </w:rPr>
              <w:t>достаточности собственного капитала"</w:t>
            </w:r>
          </w:p>
          <w:p>
            <w:pPr>
              <w:spacing w:after="20"/>
              <w:ind w:left="20"/>
              <w:jc w:val="both"/>
            </w:pPr>
            <w:r>
              <w:rPr>
                <w:rFonts w:ascii="Times New Roman"/>
                <w:b w:val="false"/>
                <w:i w:val="false"/>
                <w:color w:val="000000"/>
                <w:sz w:val="20"/>
              </w:rPr>
              <w:t>
</w:t>
            </w:r>
            <w:r>
              <w:rPr>
                <w:rFonts w:ascii="Times New Roman"/>
                <w:b/>
                <w:i w:val="false"/>
                <w:color w:val="000000"/>
                <w:sz w:val="20"/>
              </w:rPr>
              <w:t>1. Коэффициент достаточности собственного капитала управляющего инвестиционным портфелем рассчитывается по формуле:</w:t>
            </w:r>
          </w:p>
          <w:p>
            <w:pPr>
              <w:spacing w:after="20"/>
              <w:ind w:left="20"/>
              <w:jc w:val="both"/>
            </w:pPr>
            <w:r>
              <w:rPr>
                <w:rFonts w:ascii="Times New Roman"/>
                <w:b w:val="false"/>
                <w:i w:val="false"/>
                <w:color w:val="000000"/>
                <w:sz w:val="20"/>
              </w:rPr>
              <w:t>
</w:t>
            </w:r>
            <w:r>
              <w:rPr>
                <w:rFonts w:ascii="Times New Roman"/>
                <w:b/>
                <w:i w:val="false"/>
                <w:color w:val="000000"/>
                <w:sz w:val="20"/>
              </w:rPr>
              <w:t>К = (ЛА - О) / МРСК, где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ЛА - ликвидные активы управляющего инвестиционным портфелем, которые признаются ликвидными в соответствии с </w:t>
            </w:r>
            <w:r>
              <w:rPr>
                <w:rFonts w:ascii="Times New Roman"/>
                <w:b w:val="false"/>
                <w:i w:val="false"/>
                <w:color w:val="000000"/>
                <w:sz w:val="20"/>
              </w:rPr>
              <w:t>пунктом 5</w:t>
            </w:r>
            <w:r>
              <w:rPr>
                <w:rFonts w:ascii="Times New Roman"/>
                <w:b/>
                <w:i w:val="false"/>
                <w:color w:val="000000"/>
                <w:sz w:val="20"/>
              </w:rPr>
              <w:t xml:space="preserve"> Правил;</w:t>
            </w:r>
          </w:p>
          <w:p>
            <w:pPr>
              <w:spacing w:after="20"/>
              <w:ind w:left="20"/>
              <w:jc w:val="both"/>
            </w:pPr>
            <w:r>
              <w:rPr>
                <w:rFonts w:ascii="Times New Roman"/>
                <w:b w:val="false"/>
                <w:i w:val="false"/>
                <w:color w:val="000000"/>
                <w:sz w:val="20"/>
              </w:rPr>
              <w:t>
</w:t>
            </w:r>
            <w:r>
              <w:rPr>
                <w:rFonts w:ascii="Times New Roman"/>
                <w:b/>
                <w:i w:val="false"/>
                <w:color w:val="000000"/>
                <w:sz w:val="20"/>
              </w:rPr>
              <w:t>О – обязательство по балансу;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МРСК - минимальный размер собственного капитала управляющего инвестиционным портфелем, принимаемый в расчет достаточности собственного капитала, рассчитанный в соответствии с </w:t>
            </w:r>
            <w:r>
              <w:rPr>
                <w:rFonts w:ascii="Times New Roman"/>
                <w:b w:val="false"/>
                <w:i w:val="false"/>
                <w:color w:val="000000"/>
                <w:sz w:val="20"/>
              </w:rPr>
              <w:t>пунктом 2</w:t>
            </w:r>
            <w:r>
              <w:rPr>
                <w:rFonts w:ascii="Times New Roman"/>
                <w:b/>
                <w:i w:val="false"/>
                <w:color w:val="000000"/>
                <w:sz w:val="20"/>
              </w:rPr>
              <w:t xml:space="preserve"> Правил.</w:t>
            </w:r>
          </w:p>
          <w:p>
            <w:pPr>
              <w:spacing w:after="20"/>
              <w:ind w:left="20"/>
              <w:jc w:val="both"/>
            </w:pPr>
            <w:r>
              <w:rPr>
                <w:rFonts w:ascii="Times New Roman"/>
                <w:b w:val="false"/>
                <w:i w:val="false"/>
                <w:color w:val="000000"/>
                <w:sz w:val="20"/>
              </w:rPr>
              <w:t>
</w:t>
            </w:r>
            <w:r>
              <w:rPr>
                <w:rFonts w:ascii="Times New Roman"/>
                <w:b/>
                <w:i w:val="false"/>
                <w:color w:val="000000"/>
                <w:sz w:val="20"/>
              </w:rPr>
              <w:t>2. Если:</w:t>
            </w:r>
          </w:p>
          <w:p>
            <w:pPr>
              <w:spacing w:after="20"/>
              <w:ind w:left="20"/>
              <w:jc w:val="both"/>
            </w:pPr>
            <w:r>
              <w:rPr>
                <w:rFonts w:ascii="Times New Roman"/>
                <w:b w:val="false"/>
                <w:i w:val="false"/>
                <w:color w:val="000000"/>
                <w:sz w:val="20"/>
              </w:rPr>
              <w:t>
</w:t>
            </w:r>
            <w:r>
              <w:rPr>
                <w:rFonts w:ascii="Times New Roman"/>
                <w:b/>
                <w:i w:val="false"/>
                <w:color w:val="000000"/>
                <w:sz w:val="20"/>
              </w:rPr>
              <w:t>стоимость</w:t>
            </w:r>
            <w:r>
              <w:rPr>
                <w:rFonts w:ascii="Times New Roman"/>
                <w:b/>
                <w:i w:val="false"/>
                <w:color w:val="000000"/>
                <w:sz w:val="20"/>
              </w:rPr>
              <w:t xml:space="preserve"> активов, принятых в управление, составляет менее 40 000 000 000 (сорока миллиардов) тенге, то МРСК = 181 440 000 (ста восьмидесяти одному миллиону четыремстам сорока тысячам) тенге;</w:t>
            </w:r>
          </w:p>
          <w:p>
            <w:pPr>
              <w:spacing w:after="20"/>
              <w:ind w:left="20"/>
              <w:jc w:val="both"/>
            </w:pPr>
            <w:r>
              <w:rPr>
                <w:rFonts w:ascii="Times New Roman"/>
                <w:b w:val="false"/>
                <w:i w:val="false"/>
                <w:color w:val="000000"/>
                <w:sz w:val="20"/>
              </w:rPr>
              <w:t>
</w:t>
            </w:r>
            <w:r>
              <w:rPr>
                <w:rFonts w:ascii="Times New Roman"/>
                <w:b/>
                <w:i w:val="false"/>
                <w:color w:val="000000"/>
                <w:sz w:val="20"/>
              </w:rPr>
              <w:t>стоимость</w:t>
            </w:r>
            <w:r>
              <w:rPr>
                <w:rFonts w:ascii="Times New Roman"/>
                <w:b/>
                <w:i w:val="false"/>
                <w:color w:val="000000"/>
                <w:sz w:val="20"/>
              </w:rPr>
              <w:t xml:space="preserve"> активов, принятых в управление, составляет более 40 000 000 000 (сорока миллиардов) тенге, то МРСК = 181 440 000 (ста восьмидесяти одному миллиону четыремстам сорока тысячам) тенге + (АПУ – 40 000 000 000 (сорок миллиардов) тенге) * 0,0014,</w:t>
            </w:r>
          </w:p>
          <w:p>
            <w:pPr>
              <w:spacing w:after="20"/>
              <w:ind w:left="20"/>
              <w:jc w:val="both"/>
            </w:pPr>
            <w:r>
              <w:rPr>
                <w:rFonts w:ascii="Times New Roman"/>
                <w:b w:val="false"/>
                <w:i w:val="false"/>
                <w:color w:val="000000"/>
                <w:sz w:val="20"/>
              </w:rPr>
              <w:t>
</w:t>
            </w:r>
            <w:r>
              <w:rPr>
                <w:rFonts w:ascii="Times New Roman"/>
                <w:b/>
                <w:i w:val="false"/>
                <w:color w:val="000000"/>
                <w:sz w:val="20"/>
              </w:rPr>
              <w:t>где</w:t>
            </w:r>
            <w:r>
              <w:rPr>
                <w:rFonts w:ascii="Times New Roman"/>
                <w:b/>
                <w:i w:val="false"/>
                <w:color w:val="000000"/>
                <w:sz w:val="20"/>
              </w:rPr>
              <w:t xml:space="preserve"> АПУ - активы, принятые в управление.</w:t>
            </w:r>
          </w:p>
          <w:p>
            <w:pPr>
              <w:spacing w:after="20"/>
              <w:ind w:left="20"/>
              <w:jc w:val="both"/>
            </w:pPr>
            <w:r>
              <w:rPr>
                <w:rFonts w:ascii="Times New Roman"/>
                <w:b w:val="false"/>
                <w:i w:val="false"/>
                <w:color w:val="000000"/>
                <w:sz w:val="20"/>
              </w:rPr>
              <w:t>
</w:t>
            </w:r>
            <w:r>
              <w:rPr>
                <w:rFonts w:ascii="Times New Roman"/>
                <w:b/>
                <w:i w:val="false"/>
                <w:color w:val="000000"/>
                <w:sz w:val="20"/>
              </w:rPr>
              <w:t>Максимальное значение МРСК не должно превышать 1 600 000 000 (одного миллиарда шестисот миллионов) тенге.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Помимо рейтинговых оценок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Национальным Банком Республики Казахстан (далее - уполномоченный орган) также признаются рейтинговые оценки агентств </w:t>
            </w:r>
            <w:r>
              <w:rPr>
                <w:rFonts w:ascii="Times New Roman"/>
                <w:b/>
                <w:i w:val="false"/>
                <w:color w:val="000000"/>
                <w:sz w:val="20"/>
              </w:rPr>
              <w:t>Moody's</w:t>
            </w:r>
            <w:r>
              <w:rPr>
                <w:rFonts w:ascii="Times New Roman"/>
                <w:b w:val="false"/>
                <w:i w:val="false"/>
                <w:color w:val="000000"/>
                <w:sz w:val="20"/>
              </w:rPr>
              <w:t xml:space="preserve"> </w:t>
            </w:r>
            <w:r>
              <w:rPr>
                <w:rFonts w:ascii="Times New Roman"/>
                <w:b/>
                <w:i w:val="false"/>
                <w:color w:val="000000"/>
                <w:sz w:val="20"/>
              </w:rPr>
              <w:t>Investors</w:t>
            </w:r>
            <w:r>
              <w:rPr>
                <w:rFonts w:ascii="Times New Roman"/>
                <w:b w:val="false"/>
                <w:i w:val="false"/>
                <w:color w:val="000000"/>
                <w:sz w:val="20"/>
              </w:rPr>
              <w:t xml:space="preserve"> </w:t>
            </w:r>
            <w:r>
              <w:rPr>
                <w:rFonts w:ascii="Times New Roman"/>
                <w:b/>
                <w:i w:val="false"/>
                <w:color w:val="000000"/>
                <w:sz w:val="20"/>
              </w:rPr>
              <w:t>Service</w:t>
            </w:r>
            <w:r>
              <w:rPr>
                <w:rFonts w:ascii="Times New Roman"/>
                <w:b/>
                <w:i w:val="false"/>
                <w:color w:val="000000"/>
                <w:sz w:val="20"/>
              </w:rPr>
              <w:t xml:space="preserve"> и </w:t>
            </w:r>
            <w:r>
              <w:rPr>
                <w:rFonts w:ascii="Times New Roman"/>
                <w:b/>
                <w:i w:val="false"/>
                <w:color w:val="000000"/>
                <w:sz w:val="20"/>
              </w:rPr>
              <w:t>Fitch</w:t>
            </w:r>
            <w:r>
              <w:rPr>
                <w:rFonts w:ascii="Times New Roman"/>
                <w:b/>
                <w:i w:val="false"/>
                <w:color w:val="000000"/>
                <w:sz w:val="20"/>
              </w:rPr>
              <w:t>, и их дочерних рейтинговых организаций (далее - другие рейтинговые агентства).</w:t>
            </w:r>
          </w:p>
          <w:p>
            <w:pPr>
              <w:spacing w:after="20"/>
              <w:ind w:left="20"/>
              <w:jc w:val="both"/>
            </w:pPr>
            <w:r>
              <w:rPr>
                <w:rFonts w:ascii="Times New Roman"/>
                <w:b w:val="false"/>
                <w:i w:val="false"/>
                <w:color w:val="000000"/>
                <w:sz w:val="20"/>
              </w:rPr>
              <w:t>
</w:t>
            </w:r>
            <w:r>
              <w:rPr>
                <w:rFonts w:ascii="Times New Roman"/>
                <w:b/>
                <w:i w:val="false"/>
                <w:color w:val="000000"/>
                <w:sz w:val="20"/>
              </w:rPr>
              <w:t>4. Для целей Правил под международными финансовыми организациями понимаются следующие организации:</w:t>
            </w:r>
          </w:p>
          <w:p>
            <w:pPr>
              <w:spacing w:after="20"/>
              <w:ind w:left="20"/>
              <w:jc w:val="both"/>
            </w:pPr>
            <w:r>
              <w:rPr>
                <w:rFonts w:ascii="Times New Roman"/>
                <w:b w:val="false"/>
                <w:i w:val="false"/>
                <w:color w:val="000000"/>
                <w:sz w:val="20"/>
              </w:rPr>
              <w:t>
</w:t>
            </w:r>
            <w:r>
              <w:rPr>
                <w:rFonts w:ascii="Times New Roman"/>
                <w:b/>
                <w:i w:val="false"/>
                <w:color w:val="000000"/>
                <w:sz w:val="20"/>
              </w:rPr>
              <w:t>Азиатский</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i w:val="false"/>
                <w:color w:val="000000"/>
                <w:sz w:val="20"/>
              </w:rPr>
              <w:t xml:space="preserve"> (the Asian Development Bank);</w:t>
            </w:r>
          </w:p>
          <w:p>
            <w:pPr>
              <w:spacing w:after="20"/>
              <w:ind w:left="20"/>
              <w:jc w:val="both"/>
            </w:pPr>
            <w:r>
              <w:rPr>
                <w:rFonts w:ascii="Times New Roman"/>
                <w:b w:val="false"/>
                <w:i w:val="false"/>
                <w:color w:val="000000"/>
                <w:sz w:val="20"/>
              </w:rPr>
              <w:t>
</w:t>
            </w:r>
            <w:r>
              <w:rPr>
                <w:rFonts w:ascii="Times New Roman"/>
                <w:b/>
                <w:i w:val="false"/>
                <w:color w:val="000000"/>
                <w:sz w:val="20"/>
              </w:rPr>
              <w:t>Африканский</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i w:val="false"/>
                <w:color w:val="000000"/>
                <w:sz w:val="20"/>
              </w:rPr>
              <w:t xml:space="preserve"> (the African Development Bank);</w:t>
            </w:r>
          </w:p>
          <w:p>
            <w:pPr>
              <w:spacing w:after="20"/>
              <w:ind w:left="20"/>
              <w:jc w:val="both"/>
            </w:pPr>
            <w:r>
              <w:rPr>
                <w:rFonts w:ascii="Times New Roman"/>
                <w:b w:val="false"/>
                <w:i w:val="false"/>
                <w:color w:val="000000"/>
                <w:sz w:val="20"/>
              </w:rPr>
              <w:t>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Европейского</w:t>
            </w:r>
            <w:r>
              <w:rPr>
                <w:rFonts w:ascii="Times New Roman"/>
                <w:b w:val="false"/>
                <w:i w:val="false"/>
                <w:color w:val="000000"/>
                <w:sz w:val="20"/>
              </w:rPr>
              <w:t xml:space="preserve"> </w:t>
            </w:r>
            <w:r>
              <w:rPr>
                <w:rFonts w:ascii="Times New Roman"/>
                <w:b/>
                <w:i w:val="false"/>
                <w:color w:val="000000"/>
                <w:sz w:val="20"/>
              </w:rPr>
              <w:t>Совета</w:t>
            </w:r>
            <w:r>
              <w:rPr>
                <w:rFonts w:ascii="Times New Roman"/>
                <w:b/>
                <w:i w:val="false"/>
                <w:color w:val="000000"/>
                <w:sz w:val="20"/>
              </w:rPr>
              <w:t xml:space="preserve"> (the Council of Europe Development Bank);</w:t>
            </w:r>
          </w:p>
          <w:p>
            <w:pPr>
              <w:spacing w:after="20"/>
              <w:ind w:left="20"/>
              <w:jc w:val="both"/>
            </w:pPr>
            <w:r>
              <w:rPr>
                <w:rFonts w:ascii="Times New Roman"/>
                <w:b w:val="false"/>
                <w:i w:val="false"/>
                <w:color w:val="000000"/>
                <w:sz w:val="20"/>
              </w:rPr>
              <w:t>
</w:t>
            </w:r>
            <w:r>
              <w:rPr>
                <w:rFonts w:ascii="Times New Roman"/>
                <w:b/>
                <w:i w:val="false"/>
                <w:color w:val="000000"/>
                <w:sz w:val="20"/>
              </w:rPr>
              <w:t>Евразийский</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i w:val="false"/>
                <w:color w:val="000000"/>
                <w:sz w:val="20"/>
              </w:rPr>
              <w:t xml:space="preserve"> (Eurasian Development Bank);</w:t>
            </w:r>
          </w:p>
          <w:p>
            <w:pPr>
              <w:spacing w:after="20"/>
              <w:ind w:left="20"/>
              <w:jc w:val="both"/>
            </w:pPr>
            <w:r>
              <w:rPr>
                <w:rFonts w:ascii="Times New Roman"/>
                <w:b w:val="false"/>
                <w:i w:val="false"/>
                <w:color w:val="000000"/>
                <w:sz w:val="20"/>
              </w:rPr>
              <w:t>
</w:t>
            </w:r>
            <w:r>
              <w:rPr>
                <w:rFonts w:ascii="Times New Roman"/>
                <w:b/>
                <w:i w:val="false"/>
                <w:color w:val="000000"/>
                <w:sz w:val="20"/>
              </w:rPr>
              <w:t>Европейский</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реконструкции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i w:val="false"/>
                <w:color w:val="000000"/>
                <w:sz w:val="20"/>
              </w:rPr>
              <w:t xml:space="preserve"> (the European Bank for Reconstruction and Development);</w:t>
            </w:r>
          </w:p>
          <w:p>
            <w:pPr>
              <w:spacing w:after="20"/>
              <w:ind w:left="20"/>
              <w:jc w:val="both"/>
            </w:pPr>
            <w:r>
              <w:rPr>
                <w:rFonts w:ascii="Times New Roman"/>
                <w:b w:val="false"/>
                <w:i w:val="false"/>
                <w:color w:val="000000"/>
                <w:sz w:val="20"/>
              </w:rPr>
              <w:t>
</w:t>
            </w:r>
            <w:r>
              <w:rPr>
                <w:rFonts w:ascii="Times New Roman"/>
                <w:b/>
                <w:i w:val="false"/>
                <w:color w:val="000000"/>
                <w:sz w:val="20"/>
              </w:rPr>
              <w:t>Европейский инвестиционный банк (</w:t>
            </w:r>
            <w:r>
              <w:rPr>
                <w:rFonts w:ascii="Times New Roman"/>
                <w:b/>
                <w:i w:val="false"/>
                <w:color w:val="000000"/>
                <w:sz w:val="20"/>
              </w:rPr>
              <w:t>the</w:t>
            </w:r>
            <w:r>
              <w:rPr>
                <w:rFonts w:ascii="Times New Roman"/>
                <w:b w:val="false"/>
                <w:i w:val="false"/>
                <w:color w:val="000000"/>
                <w:sz w:val="20"/>
              </w:rPr>
              <w:t xml:space="preserve"> </w:t>
            </w:r>
            <w:r>
              <w:rPr>
                <w:rFonts w:ascii="Times New Roman"/>
                <w:b/>
                <w:i w:val="false"/>
                <w:color w:val="000000"/>
                <w:sz w:val="20"/>
              </w:rPr>
              <w:t>European</w:t>
            </w:r>
            <w:r>
              <w:rPr>
                <w:rFonts w:ascii="Times New Roman"/>
                <w:b w:val="false"/>
                <w:i w:val="false"/>
                <w:color w:val="000000"/>
                <w:sz w:val="20"/>
              </w:rPr>
              <w:t xml:space="preserve"> </w:t>
            </w:r>
            <w:r>
              <w:rPr>
                <w:rFonts w:ascii="Times New Roman"/>
                <w:b/>
                <w:i w:val="false"/>
                <w:color w:val="000000"/>
                <w:sz w:val="20"/>
              </w:rPr>
              <w:t>Investment</w:t>
            </w:r>
            <w:r>
              <w:rPr>
                <w:rFonts w:ascii="Times New Roman"/>
                <w:b w:val="false"/>
                <w:i w:val="false"/>
                <w:color w:val="000000"/>
                <w:sz w:val="20"/>
              </w:rPr>
              <w:t xml:space="preserve"> </w:t>
            </w:r>
            <w:r>
              <w:rPr>
                <w:rFonts w:ascii="Times New Roman"/>
                <w:b/>
                <w:i w:val="false"/>
                <w:color w:val="000000"/>
                <w:sz w:val="20"/>
              </w:rPr>
              <w:t>Bank</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Исламская корпорация по развитию частного сектора (ICD);</w:t>
            </w:r>
          </w:p>
          <w:p>
            <w:pPr>
              <w:spacing w:after="20"/>
              <w:ind w:left="20"/>
              <w:jc w:val="both"/>
            </w:pPr>
            <w:r>
              <w:rPr>
                <w:rFonts w:ascii="Times New Roman"/>
                <w:b w:val="false"/>
                <w:i w:val="false"/>
                <w:color w:val="000000"/>
                <w:sz w:val="20"/>
              </w:rPr>
              <w:t>
</w:t>
            </w:r>
            <w:r>
              <w:rPr>
                <w:rFonts w:ascii="Times New Roman"/>
                <w:b/>
                <w:i w:val="false"/>
                <w:color w:val="000000"/>
                <w:sz w:val="20"/>
              </w:rPr>
              <w:t>Исламский</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i w:val="false"/>
                <w:color w:val="000000"/>
                <w:sz w:val="20"/>
              </w:rPr>
              <w:t xml:space="preserve"> (the Islamic Development Bank);</w:t>
            </w:r>
          </w:p>
          <w:p>
            <w:pPr>
              <w:spacing w:after="20"/>
              <w:ind w:left="20"/>
              <w:jc w:val="both"/>
            </w:pPr>
            <w:r>
              <w:rPr>
                <w:rFonts w:ascii="Times New Roman"/>
                <w:b w:val="false"/>
                <w:i w:val="false"/>
                <w:color w:val="000000"/>
                <w:sz w:val="20"/>
              </w:rPr>
              <w:t>
</w:t>
            </w:r>
            <w:r>
              <w:rPr>
                <w:rFonts w:ascii="Times New Roman"/>
                <w:b/>
                <w:i w:val="false"/>
                <w:color w:val="000000"/>
                <w:sz w:val="20"/>
              </w:rPr>
              <w:t>Межамериканский</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i w:val="false"/>
                <w:color w:val="000000"/>
                <w:sz w:val="20"/>
              </w:rPr>
              <w:t xml:space="preserve"> (the Inter-American Development Bank);</w:t>
            </w:r>
          </w:p>
          <w:p>
            <w:pPr>
              <w:spacing w:after="20"/>
              <w:ind w:left="20"/>
              <w:jc w:val="both"/>
            </w:pPr>
            <w:r>
              <w:rPr>
                <w:rFonts w:ascii="Times New Roman"/>
                <w:b w:val="false"/>
                <w:i w:val="false"/>
                <w:color w:val="000000"/>
                <w:sz w:val="20"/>
              </w:rPr>
              <w:t>
</w:t>
            </w:r>
            <w:r>
              <w:rPr>
                <w:rFonts w:ascii="Times New Roman"/>
                <w:b/>
                <w:i w:val="false"/>
                <w:color w:val="000000"/>
                <w:sz w:val="20"/>
              </w:rPr>
              <w:t>Международная ассоциация развития;</w:t>
            </w:r>
          </w:p>
          <w:p>
            <w:pPr>
              <w:spacing w:after="20"/>
              <w:ind w:left="20"/>
              <w:jc w:val="both"/>
            </w:pPr>
            <w:r>
              <w:rPr>
                <w:rFonts w:ascii="Times New Roman"/>
                <w:b w:val="false"/>
                <w:i w:val="false"/>
                <w:color w:val="000000"/>
                <w:sz w:val="20"/>
              </w:rPr>
              <w:t>
</w:t>
            </w:r>
            <w:r>
              <w:rPr>
                <w:rFonts w:ascii="Times New Roman"/>
                <w:b/>
                <w:i w:val="false"/>
                <w:color w:val="000000"/>
                <w:sz w:val="20"/>
              </w:rPr>
              <w:t>Международная финансовая корпорация (</w:t>
            </w:r>
            <w:r>
              <w:rPr>
                <w:rFonts w:ascii="Times New Roman"/>
                <w:b/>
                <w:i w:val="false"/>
                <w:color w:val="000000"/>
                <w:sz w:val="20"/>
              </w:rPr>
              <w:t>the</w:t>
            </w:r>
            <w:r>
              <w:rPr>
                <w:rFonts w:ascii="Times New Roman"/>
                <w:b w:val="false"/>
                <w:i w:val="false"/>
                <w:color w:val="000000"/>
                <w:sz w:val="20"/>
              </w:rPr>
              <w:t xml:space="preserve"> </w:t>
            </w:r>
            <w:r>
              <w:rPr>
                <w:rFonts w:ascii="Times New Roman"/>
                <w:b/>
                <w:i w:val="false"/>
                <w:color w:val="000000"/>
                <w:sz w:val="20"/>
              </w:rPr>
              <w:t>International</w:t>
            </w:r>
            <w:r>
              <w:rPr>
                <w:rFonts w:ascii="Times New Roman"/>
                <w:b w:val="false"/>
                <w:i w:val="false"/>
                <w:color w:val="000000"/>
                <w:sz w:val="20"/>
              </w:rPr>
              <w:t xml:space="preserve"> </w:t>
            </w:r>
            <w:r>
              <w:rPr>
                <w:rFonts w:ascii="Times New Roman"/>
                <w:b/>
                <w:i w:val="false"/>
                <w:color w:val="000000"/>
                <w:sz w:val="20"/>
              </w:rPr>
              <w:t>Finance</w:t>
            </w:r>
            <w:r>
              <w:rPr>
                <w:rFonts w:ascii="Times New Roman"/>
                <w:b w:val="false"/>
                <w:i w:val="false"/>
                <w:color w:val="000000"/>
                <w:sz w:val="20"/>
              </w:rPr>
              <w:t xml:space="preserve"> </w:t>
            </w:r>
            <w:r>
              <w:rPr>
                <w:rFonts w:ascii="Times New Roman"/>
                <w:b/>
                <w:i w:val="false"/>
                <w:color w:val="000000"/>
                <w:sz w:val="20"/>
              </w:rPr>
              <w:t>Corporation</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реконструкции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i w:val="false"/>
                <w:color w:val="000000"/>
                <w:sz w:val="20"/>
              </w:rPr>
              <w:t xml:space="preserve"> (the International Bank for Reconstruction and Development);</w:t>
            </w:r>
          </w:p>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 валютный фонд;</w:t>
            </w:r>
          </w:p>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 центр по урегулированию инвестиционных споров;</w:t>
            </w:r>
          </w:p>
          <w:p>
            <w:pPr>
              <w:spacing w:after="20"/>
              <w:ind w:left="20"/>
              <w:jc w:val="both"/>
            </w:pPr>
            <w:r>
              <w:rPr>
                <w:rFonts w:ascii="Times New Roman"/>
                <w:b w:val="false"/>
                <w:i w:val="false"/>
                <w:color w:val="000000"/>
                <w:sz w:val="20"/>
              </w:rPr>
              <w:t>
</w:t>
            </w:r>
            <w:r>
              <w:rPr>
                <w:rFonts w:ascii="Times New Roman"/>
                <w:b/>
                <w:i w:val="false"/>
                <w:color w:val="000000"/>
                <w:sz w:val="20"/>
              </w:rPr>
              <w:t>Многостороннее агентство гарантии инвестиций;</w:t>
            </w:r>
          </w:p>
          <w:p>
            <w:pPr>
              <w:spacing w:after="20"/>
              <w:ind w:left="20"/>
              <w:jc w:val="both"/>
            </w:pPr>
            <w:r>
              <w:rPr>
                <w:rFonts w:ascii="Times New Roman"/>
                <w:b w:val="false"/>
                <w:i w:val="false"/>
                <w:color w:val="000000"/>
                <w:sz w:val="20"/>
              </w:rPr>
              <w:t>
</w:t>
            </w:r>
            <w:r>
              <w:rPr>
                <w:rFonts w:ascii="Times New Roman"/>
                <w:b/>
                <w:i w:val="false"/>
                <w:color w:val="000000"/>
                <w:sz w:val="20"/>
              </w:rPr>
              <w:t>Скандинавский инвестиционный банк (</w:t>
            </w:r>
            <w:r>
              <w:rPr>
                <w:rFonts w:ascii="Times New Roman"/>
                <w:b/>
                <w:i w:val="false"/>
                <w:color w:val="000000"/>
                <w:sz w:val="20"/>
              </w:rPr>
              <w:t>the</w:t>
            </w:r>
            <w:r>
              <w:rPr>
                <w:rFonts w:ascii="Times New Roman"/>
                <w:b w:val="false"/>
                <w:i w:val="false"/>
                <w:color w:val="000000"/>
                <w:sz w:val="20"/>
              </w:rPr>
              <w:t xml:space="preserve"> </w:t>
            </w:r>
            <w:r>
              <w:rPr>
                <w:rFonts w:ascii="Times New Roman"/>
                <w:b/>
                <w:i w:val="false"/>
                <w:color w:val="000000"/>
                <w:sz w:val="20"/>
              </w:rPr>
              <w:t>Nordic</w:t>
            </w:r>
            <w:r>
              <w:rPr>
                <w:rFonts w:ascii="Times New Roman"/>
                <w:b w:val="false"/>
                <w:i w:val="false"/>
                <w:color w:val="000000"/>
                <w:sz w:val="20"/>
              </w:rPr>
              <w:t xml:space="preserve"> </w:t>
            </w:r>
            <w:r>
              <w:rPr>
                <w:rFonts w:ascii="Times New Roman"/>
                <w:b/>
                <w:i w:val="false"/>
                <w:color w:val="000000"/>
                <w:sz w:val="20"/>
              </w:rPr>
              <w:t>Investment</w:t>
            </w:r>
            <w:r>
              <w:rPr>
                <w:rFonts w:ascii="Times New Roman"/>
                <w:b w:val="false"/>
                <w:i w:val="false"/>
                <w:color w:val="000000"/>
                <w:sz w:val="20"/>
              </w:rPr>
              <w:t xml:space="preserve"> </w:t>
            </w:r>
            <w:r>
              <w:rPr>
                <w:rFonts w:ascii="Times New Roman"/>
                <w:b/>
                <w:i w:val="false"/>
                <w:color w:val="000000"/>
                <w:sz w:val="20"/>
              </w:rPr>
              <w:t>Bank</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5. В качестве ликвидных активов управляющего инвестиционным портфелем в объемах, предусмотренных приложением к Правилам, признаются следующие собственные активы:</w:t>
            </w:r>
          </w:p>
          <w:p>
            <w:pPr>
              <w:spacing w:after="20"/>
              <w:ind w:left="20"/>
              <w:jc w:val="both"/>
            </w:pPr>
            <w:r>
              <w:rPr>
                <w:rFonts w:ascii="Times New Roman"/>
                <w:b w:val="false"/>
                <w:i w:val="false"/>
                <w:color w:val="000000"/>
                <w:sz w:val="20"/>
              </w:rPr>
              <w:t>
</w:t>
            </w:r>
            <w:r>
              <w:rPr>
                <w:rFonts w:ascii="Times New Roman"/>
                <w:b/>
                <w:i w:val="false"/>
                <w:color w:val="000000"/>
                <w:sz w:val="20"/>
              </w:rPr>
              <w:t>1) деньги, в том числе:</w:t>
            </w:r>
          </w:p>
          <w:p>
            <w:pPr>
              <w:spacing w:after="20"/>
              <w:ind w:left="20"/>
              <w:jc w:val="both"/>
            </w:pPr>
            <w:r>
              <w:rPr>
                <w:rFonts w:ascii="Times New Roman"/>
                <w:b w:val="false"/>
                <w:i w:val="false"/>
                <w:color w:val="000000"/>
                <w:sz w:val="20"/>
              </w:rPr>
              <w:t>
</w:t>
            </w:r>
            <w:r>
              <w:rPr>
                <w:rFonts w:ascii="Times New Roman"/>
                <w:b/>
                <w:i w:val="false"/>
                <w:color w:val="000000"/>
                <w:sz w:val="20"/>
              </w:rPr>
              <w:t>деньги</w:t>
            </w:r>
            <w:r>
              <w:rPr>
                <w:rFonts w:ascii="Times New Roman"/>
                <w:b/>
                <w:i w:val="false"/>
                <w:color w:val="000000"/>
                <w:sz w:val="20"/>
              </w:rPr>
              <w:t xml:space="preserve"> в кассе, не более десяти процентов от суммы активов по балансу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i w:val="false"/>
                <w:color w:val="000000"/>
                <w:sz w:val="20"/>
              </w:rPr>
              <w:t>деньги</w:t>
            </w:r>
            <w:r>
              <w:rPr>
                <w:rFonts w:ascii="Times New Roman"/>
                <w:b/>
                <w:i w:val="false"/>
                <w:color w:val="000000"/>
                <w:sz w:val="20"/>
              </w:rPr>
              <w:t xml:space="preserve"> на текущих счетах в банках второго уровня Республики Казахстан, указанных в подпункте 2) настоящего пункта;</w:t>
            </w:r>
          </w:p>
          <w:p>
            <w:pPr>
              <w:spacing w:after="20"/>
              <w:ind w:left="20"/>
              <w:jc w:val="both"/>
            </w:pPr>
            <w:r>
              <w:rPr>
                <w:rFonts w:ascii="Times New Roman"/>
                <w:b w:val="false"/>
                <w:i w:val="false"/>
                <w:color w:val="000000"/>
                <w:sz w:val="20"/>
              </w:rPr>
              <w:t>
</w:t>
            </w:r>
            <w:r>
              <w:rPr>
                <w:rFonts w:ascii="Times New Roman"/>
                <w:b/>
                <w:i w:val="false"/>
                <w:color w:val="000000"/>
                <w:sz w:val="20"/>
              </w:rPr>
              <w:t>собственные</w:t>
            </w:r>
            <w:r>
              <w:rPr>
                <w:rFonts w:ascii="Times New Roman"/>
                <w:b/>
                <w:i w:val="false"/>
                <w:color w:val="000000"/>
                <w:sz w:val="20"/>
              </w:rPr>
              <w:t xml:space="preserve"> деньги на счетах в центральном депозитарии;</w:t>
            </w:r>
          </w:p>
          <w:p>
            <w:pPr>
              <w:spacing w:after="20"/>
              <w:ind w:left="20"/>
              <w:jc w:val="both"/>
            </w:pPr>
            <w:r>
              <w:rPr>
                <w:rFonts w:ascii="Times New Roman"/>
                <w:b w:val="false"/>
                <w:i w:val="false"/>
                <w:color w:val="000000"/>
                <w:sz w:val="20"/>
              </w:rPr>
              <w:t>
</w:t>
            </w:r>
            <w:r>
              <w:rPr>
                <w:rFonts w:ascii="Times New Roman"/>
                <w:b/>
                <w:i w:val="false"/>
                <w:color w:val="000000"/>
                <w:sz w:val="20"/>
              </w:rPr>
              <w:t>собственные</w:t>
            </w:r>
            <w:r>
              <w:rPr>
                <w:rFonts w:ascii="Times New Roman"/>
                <w:b/>
                <w:i w:val="false"/>
                <w:color w:val="000000"/>
                <w:sz w:val="20"/>
              </w:rPr>
              <w:t xml:space="preserve"> деньги на счетах в клиринговой организации, являющиеся гарантийными, </w:t>
            </w:r>
            <w:r>
              <w:rPr>
                <w:rFonts w:ascii="Times New Roman"/>
                <w:b/>
                <w:i w:val="false"/>
                <w:color w:val="000000"/>
                <w:sz w:val="20"/>
              </w:rPr>
              <w:t>маржевыми</w:t>
            </w:r>
            <w:r>
              <w:rPr>
                <w:rFonts w:ascii="Times New Roman"/>
                <w:b/>
                <w:i w:val="false"/>
                <w:color w:val="000000"/>
                <w:sz w:val="20"/>
              </w:rPr>
              <w:t xml:space="preserve"> взносами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i w:val="false"/>
                <w:color w:val="000000"/>
                <w:sz w:val="20"/>
              </w:rPr>
              <w:t>деньги</w:t>
            </w:r>
            <w:r>
              <w:rPr>
                <w:rFonts w:ascii="Times New Roman"/>
                <w:b/>
                <w:i w:val="false"/>
                <w:color w:val="000000"/>
                <w:sz w:val="20"/>
              </w:rPr>
              <w:t xml:space="preserve"> на текущих счетах в банках-нерезидентах Республики Казахстан, которые имеют долгосрочный и (или) краткосрочный, индивидуальный рейтинг не ниже категории "ВВВ-"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i w:val="false"/>
                <w:color w:val="000000"/>
                <w:sz w:val="20"/>
              </w:rPr>
              <w:t>деньги</w:t>
            </w:r>
            <w:r>
              <w:rPr>
                <w:rFonts w:ascii="Times New Roman"/>
                <w:b/>
                <w:i w:val="false"/>
                <w:color w:val="000000"/>
                <w:sz w:val="20"/>
              </w:rPr>
              <w:t xml:space="preserve"> на счетах в организациях-нерезидентах Республики Казахстан, предоставляющих банковские услуги организациям для осуществления операций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i w:val="false"/>
                <w:color w:val="000000"/>
                <w:sz w:val="20"/>
              </w:rPr>
              <w:t>2)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в объемах, указанных в приложении к Правилам, при соответствии одному из следующих условий:</w:t>
            </w:r>
          </w:p>
          <w:p>
            <w:pPr>
              <w:spacing w:after="20"/>
              <w:ind w:left="20"/>
              <w:jc w:val="both"/>
            </w:pPr>
            <w:r>
              <w:rPr>
                <w:rFonts w:ascii="Times New Roman"/>
                <w:b w:val="false"/>
                <w:i w:val="false"/>
                <w:color w:val="000000"/>
                <w:sz w:val="20"/>
              </w:rPr>
              <w:t>
</w:t>
            </w:r>
            <w:r>
              <w:rPr>
                <w:rFonts w:ascii="Times New Roman"/>
                <w:b/>
                <w:i w:val="false"/>
                <w:color w:val="000000"/>
                <w:sz w:val="20"/>
              </w:rPr>
              <w:t>банки</w:t>
            </w:r>
            <w:r>
              <w:rPr>
                <w:rFonts w:ascii="Times New Roman"/>
                <w:b/>
                <w:i w:val="false"/>
                <w:color w:val="000000"/>
                <w:sz w:val="20"/>
              </w:rPr>
              <w:t xml:space="preserve"> имеют долгосрочный кредитный рейтинг не ниже "В-"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 или рейтинговую оценку не ниже "</w:t>
            </w:r>
            <w:r>
              <w:rPr>
                <w:rFonts w:ascii="Times New Roman"/>
                <w:b/>
                <w:i w:val="false"/>
                <w:color w:val="000000"/>
                <w:sz w:val="20"/>
              </w:rPr>
              <w:t>kzB</w:t>
            </w:r>
            <w:r>
              <w:rPr>
                <w:rFonts w:ascii="Times New Roman"/>
                <w:b/>
                <w:i w:val="false"/>
                <w:color w:val="000000"/>
                <w:sz w:val="20"/>
              </w:rPr>
              <w:t xml:space="preserve">" по национальной шкале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i w:val="false"/>
                <w:color w:val="000000"/>
                <w:sz w:val="20"/>
              </w:rPr>
              <w:t>банки</w:t>
            </w:r>
            <w:r>
              <w:rPr>
                <w:rFonts w:ascii="Times New Roman"/>
                <w:b/>
                <w:i w:val="false"/>
                <w:color w:val="000000"/>
                <w:sz w:val="20"/>
              </w:rPr>
              <w:t xml:space="preserve">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i w:val="false"/>
                <w:color w:val="000000"/>
                <w:sz w:val="20"/>
              </w:rPr>
              <w:t>банки</w:t>
            </w:r>
            <w:r>
              <w:rPr>
                <w:rFonts w:ascii="Times New Roman"/>
                <w:b/>
                <w:i w:val="false"/>
                <w:color w:val="000000"/>
                <w:sz w:val="20"/>
              </w:rPr>
              <w:t xml:space="preserve"> являются банками - эмитентами, включенными в сектор "акции" площадки "Основная" официального списка фондовой биржи или банками-эмитентами, акции которых находятся в представительском списке индекса фондовой биржи;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"ВВВ-"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w:t>
            </w:r>
            <w:r>
              <w:rPr>
                <w:rFonts w:ascii="Times New Roman"/>
                <w:b/>
                <w:i w:val="false"/>
                <w:color w:val="000000"/>
                <w:sz w:val="20"/>
              </w:rPr>
              <w:t>начисленного вознаграждения),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5) долговые ценные бумаги, выпущенные акционерным обществом "Фонд национального благосостояния "</w:t>
            </w:r>
            <w:r>
              <w:rPr>
                <w:rFonts w:ascii="Times New Roman"/>
                <w:b/>
                <w:i w:val="false"/>
                <w:color w:val="000000"/>
                <w:sz w:val="20"/>
              </w:rPr>
              <w:t>Самрук-Казына</w:t>
            </w:r>
            <w:r>
              <w:rPr>
                <w:rFonts w:ascii="Times New Roman"/>
                <w:b/>
                <w:i w:val="false"/>
                <w:color w:val="000000"/>
                <w:sz w:val="20"/>
              </w:rPr>
              <w:t>" (с учетом сумм основного долга и начисленного вознаграждения),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акции юридических лиц Республики Казахстан, имеющих рейтинговую оценку не ниже "ВВ-"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 или рейтинговую оценку не ниже "</w:t>
            </w:r>
            <w:r>
              <w:rPr>
                <w:rFonts w:ascii="Times New Roman"/>
                <w:b/>
                <w:i w:val="false"/>
                <w:color w:val="000000"/>
                <w:sz w:val="20"/>
              </w:rPr>
              <w:t>kzBB</w:t>
            </w:r>
            <w:r>
              <w:rPr>
                <w:rFonts w:ascii="Times New Roman"/>
                <w:b/>
                <w:i w:val="false"/>
                <w:color w:val="000000"/>
                <w:sz w:val="20"/>
              </w:rPr>
              <w:t xml:space="preserve">-" по национальной шкале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или рейтинг аналогичного уровня по национальной шкале одного из других рейтинговых агентств,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0"/>
              </w:rPr>
              <w:t>законодательством</w:t>
            </w:r>
            <w:r>
              <w:rPr>
                <w:rFonts w:ascii="Times New Roman"/>
                <w:b/>
                <w:i w:val="false"/>
                <w:color w:val="000000"/>
                <w:sz w:val="20"/>
              </w:rPr>
              <w:t xml:space="preserve"> Республики Казахстан и других государств, имеющие рейтинговую оценку не ниже "В-"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 или рейтинговую оценку не ниже "</w:t>
            </w:r>
            <w:r>
              <w:rPr>
                <w:rFonts w:ascii="Times New Roman"/>
                <w:b/>
                <w:i w:val="false"/>
                <w:color w:val="000000"/>
                <w:sz w:val="20"/>
              </w:rPr>
              <w:t>kzB</w:t>
            </w:r>
            <w:r>
              <w:rPr>
                <w:rFonts w:ascii="Times New Roman"/>
                <w:b/>
                <w:i w:val="false"/>
                <w:color w:val="000000"/>
                <w:sz w:val="20"/>
              </w:rPr>
              <w:t xml:space="preserve">-" по национальной шкале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негосударственные долговые ценные бумаги, имеющие рейтинговую оценку ниже уровня, указанного в подпункте 8) настоящего пункта, а также не имеющие рейтинговую оценку,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10)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за исключением ценных бумаг, указанных в подпунктах 8), 9) настоящего пункта, (с учетом сумм основного долга и начисленного вознаграждения), за вычетом резервов на возможные потери, соответствующие следующим требованиям:</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w:t>
            </w:r>
            <w:r>
              <w:rPr>
                <w:rFonts w:ascii="Times New Roman"/>
                <w:b/>
                <w:i w:val="false"/>
                <w:color w:val="000000"/>
                <w:sz w:val="20"/>
              </w:rPr>
              <w:t xml:space="preserve">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p>
          <w:p>
            <w:pPr>
              <w:spacing w:after="20"/>
              <w:ind w:left="20"/>
              <w:jc w:val="both"/>
            </w:pPr>
            <w:r>
              <w:rPr>
                <w:rFonts w:ascii="Times New Roman"/>
                <w:b w:val="false"/>
                <w:i w:val="false"/>
                <w:color w:val="000000"/>
                <w:sz w:val="20"/>
              </w:rPr>
              <w:t>
</w:t>
            </w:r>
            <w:r>
              <w:rPr>
                <w:rFonts w:ascii="Times New Roman"/>
                <w:b/>
                <w:i w:val="false"/>
                <w:color w:val="000000"/>
                <w:sz w:val="20"/>
              </w:rPr>
              <w:t>эмитент</w:t>
            </w:r>
            <w:r>
              <w:rPr>
                <w:rFonts w:ascii="Times New Roman"/>
                <w:b/>
                <w:i w:val="false"/>
                <w:color w:val="000000"/>
                <w:sz w:val="20"/>
              </w:rPr>
              <w:t xml:space="preserve"> долговых ценных бумаг составляет финансовую отчетность в соответствии с международными стандартами финансовой отчетности (</w:t>
            </w:r>
            <w:r>
              <w:rPr>
                <w:rFonts w:ascii="Times New Roman"/>
                <w:b/>
                <w:i w:val="false"/>
                <w:color w:val="000000"/>
                <w:sz w:val="20"/>
              </w:rPr>
              <w:t>International</w:t>
            </w:r>
            <w:r>
              <w:rPr>
                <w:rFonts w:ascii="Times New Roman"/>
                <w:b w:val="false"/>
                <w:i w:val="false"/>
                <w:color w:val="000000"/>
                <w:sz w:val="20"/>
              </w:rPr>
              <w:t xml:space="preserve"> </w:t>
            </w:r>
            <w:r>
              <w:rPr>
                <w:rFonts w:ascii="Times New Roman"/>
                <w:b/>
                <w:i w:val="false"/>
                <w:color w:val="000000"/>
                <w:sz w:val="20"/>
              </w:rPr>
              <w:t>Financial</w:t>
            </w:r>
            <w:r>
              <w:rPr>
                <w:rFonts w:ascii="Times New Roman"/>
                <w:b w:val="false"/>
                <w:i w:val="false"/>
                <w:color w:val="000000"/>
                <w:sz w:val="20"/>
              </w:rPr>
              <w:t xml:space="preserve"> </w:t>
            </w:r>
            <w:r>
              <w:rPr>
                <w:rFonts w:ascii="Times New Roman"/>
                <w:b/>
                <w:i w:val="false"/>
                <w:color w:val="000000"/>
                <w:sz w:val="20"/>
              </w:rPr>
              <w:t>Reporting</w:t>
            </w:r>
            <w:r>
              <w:rPr>
                <w:rFonts w:ascii="Times New Roman"/>
                <w:b w:val="false"/>
                <w:i w:val="false"/>
                <w:color w:val="000000"/>
                <w:sz w:val="20"/>
              </w:rPr>
              <w:t xml:space="preserve"> </w:t>
            </w:r>
            <w:r>
              <w:rPr>
                <w:rFonts w:ascii="Times New Roman"/>
                <w:b/>
                <w:i w:val="false"/>
                <w:color w:val="000000"/>
                <w:sz w:val="20"/>
              </w:rPr>
              <w:t>Standards</w:t>
            </w:r>
            <w:r>
              <w:rPr>
                <w:rFonts w:ascii="Times New Roman"/>
                <w:b/>
                <w:i w:val="false"/>
                <w:color w:val="000000"/>
                <w:sz w:val="20"/>
              </w:rPr>
              <w:t xml:space="preserve"> - IFRS) или стандартами финансовой отчетности, действующими в Соединенных Штатах Америки (</w:t>
            </w:r>
            <w:r>
              <w:rPr>
                <w:rFonts w:ascii="Times New Roman"/>
                <w:b/>
                <w:i w:val="false"/>
                <w:color w:val="000000"/>
                <w:sz w:val="20"/>
              </w:rPr>
              <w:t>General</w:t>
            </w:r>
            <w:r>
              <w:rPr>
                <w:rFonts w:ascii="Times New Roman"/>
                <w:b w:val="false"/>
                <w:i w:val="false"/>
                <w:color w:val="000000"/>
                <w:sz w:val="20"/>
              </w:rPr>
              <w:t xml:space="preserve"> </w:t>
            </w:r>
            <w:r>
              <w:rPr>
                <w:rFonts w:ascii="Times New Roman"/>
                <w:b/>
                <w:i w:val="false"/>
                <w:color w:val="000000"/>
                <w:sz w:val="20"/>
              </w:rPr>
              <w:t>Accepted</w:t>
            </w:r>
            <w:r>
              <w:rPr>
                <w:rFonts w:ascii="Times New Roman"/>
                <w:b w:val="false"/>
                <w:i w:val="false"/>
                <w:color w:val="000000"/>
                <w:sz w:val="20"/>
              </w:rPr>
              <w:t xml:space="preserve"> </w:t>
            </w:r>
            <w:r>
              <w:rPr>
                <w:rFonts w:ascii="Times New Roman"/>
                <w:b/>
                <w:i w:val="false"/>
                <w:color w:val="000000"/>
                <w:sz w:val="20"/>
              </w:rPr>
              <w:t>Accounting</w:t>
            </w:r>
            <w:r>
              <w:rPr>
                <w:rFonts w:ascii="Times New Roman"/>
                <w:b w:val="false"/>
                <w:i w:val="false"/>
                <w:color w:val="000000"/>
                <w:sz w:val="20"/>
              </w:rPr>
              <w:t xml:space="preserve"> </w:t>
            </w:r>
            <w:r>
              <w:rPr>
                <w:rFonts w:ascii="Times New Roman"/>
                <w:b/>
                <w:i w:val="false"/>
                <w:color w:val="000000"/>
                <w:sz w:val="20"/>
              </w:rPr>
              <w:t>Principles</w:t>
            </w:r>
            <w:r>
              <w:rPr>
                <w:rFonts w:ascii="Times New Roman"/>
                <w:b/>
                <w:i w:val="false"/>
                <w:color w:val="000000"/>
                <w:sz w:val="20"/>
              </w:rPr>
              <w:t xml:space="preserve"> - GAAP);</w:t>
            </w:r>
          </w:p>
          <w:p>
            <w:pPr>
              <w:spacing w:after="20"/>
              <w:ind w:left="20"/>
              <w:jc w:val="both"/>
            </w:pPr>
            <w:r>
              <w:rPr>
                <w:rFonts w:ascii="Times New Roman"/>
                <w:b w:val="false"/>
                <w:i w:val="false"/>
                <w:color w:val="000000"/>
                <w:sz w:val="20"/>
              </w:rPr>
              <w:t>
</w:t>
            </w:r>
            <w:r>
              <w:rPr>
                <w:rFonts w:ascii="Times New Roman"/>
                <w:b/>
                <w:i w:val="false"/>
                <w:color w:val="000000"/>
                <w:sz w:val="20"/>
              </w:rPr>
              <w:t>аудит</w:t>
            </w:r>
            <w:r>
              <w:rPr>
                <w:rFonts w:ascii="Times New Roman"/>
                <w:b/>
                <w:i w:val="false"/>
                <w:color w:val="000000"/>
                <w:sz w:val="20"/>
              </w:rPr>
              <w:t xml:space="preserve">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20"/>
              <w:ind w:left="20"/>
              <w:jc w:val="both"/>
            </w:pPr>
            <w:r>
              <w:rPr>
                <w:rFonts w:ascii="Times New Roman"/>
                <w:b w:val="false"/>
                <w:i w:val="false"/>
                <w:color w:val="000000"/>
                <w:sz w:val="20"/>
              </w:rPr>
              <w:t>
</w:t>
            </w:r>
            <w:r>
              <w:rPr>
                <w:rFonts w:ascii="Times New Roman"/>
                <w:b/>
                <w:i w:val="false"/>
                <w:color w:val="000000"/>
                <w:sz w:val="20"/>
              </w:rPr>
              <w:t>финансовая</w:t>
            </w:r>
            <w:r>
              <w:rPr>
                <w:rFonts w:ascii="Times New Roman"/>
                <w:b/>
                <w:i w:val="false"/>
                <w:color w:val="000000"/>
                <w:sz w:val="20"/>
              </w:rPr>
              <w:t xml:space="preserve"> отчетность эмитента долговых ценных бумаг, подтвержденная аудиторским отчетом, представлялась не менее, чем за два завершенных финансовых года;</w:t>
            </w:r>
          </w:p>
          <w:p>
            <w:pPr>
              <w:spacing w:after="20"/>
              <w:ind w:left="20"/>
              <w:jc w:val="both"/>
            </w:pPr>
            <w:r>
              <w:rPr>
                <w:rFonts w:ascii="Times New Roman"/>
                <w:b w:val="false"/>
                <w:i w:val="false"/>
                <w:color w:val="000000"/>
                <w:sz w:val="20"/>
              </w:rPr>
              <w:t>
</w:t>
            </w:r>
            <w:r>
              <w:rPr>
                <w:rFonts w:ascii="Times New Roman"/>
                <w:b/>
                <w:i w:val="false"/>
                <w:color w:val="000000"/>
                <w:sz w:val="20"/>
              </w:rPr>
              <w:t>собственный</w:t>
            </w:r>
            <w:r>
              <w:rPr>
                <w:rFonts w:ascii="Times New Roman"/>
                <w:b/>
                <w:i w:val="false"/>
                <w:color w:val="000000"/>
                <w:sz w:val="20"/>
              </w:rPr>
              <w:t xml:space="preserve">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20"/>
              <w:ind w:left="20"/>
              <w:jc w:val="both"/>
            </w:pPr>
            <w:r>
              <w:rPr>
                <w:rFonts w:ascii="Times New Roman"/>
                <w:b w:val="false"/>
                <w:i w:val="false"/>
                <w:color w:val="000000"/>
                <w:sz w:val="20"/>
              </w:rPr>
              <w:t>
</w:t>
            </w:r>
            <w:r>
              <w:rPr>
                <w:rFonts w:ascii="Times New Roman"/>
                <w:b/>
                <w:i w:val="false"/>
                <w:color w:val="000000"/>
                <w:sz w:val="20"/>
              </w:rPr>
              <w:t>чистая</w:t>
            </w:r>
            <w:r>
              <w:rPr>
                <w:rFonts w:ascii="Times New Roman"/>
                <w:b/>
                <w:i w:val="false"/>
                <w:color w:val="000000"/>
                <w:sz w:val="20"/>
              </w:rPr>
              <w:t xml:space="preserve"> прибыль эмитента долговых ценных бумаг за один год из двух последних лет составляет сумму, эквивалентную не менее восьмидесяти пяти тысяч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20"/>
              <w:ind w:left="20"/>
              <w:jc w:val="both"/>
            </w:pPr>
            <w:r>
              <w:rPr>
                <w:rFonts w:ascii="Times New Roman"/>
                <w:b w:val="false"/>
                <w:i w:val="false"/>
                <w:color w:val="000000"/>
                <w:sz w:val="20"/>
              </w:rPr>
              <w:t>
</w:t>
            </w:r>
            <w:r>
              <w:rPr>
                <w:rFonts w:ascii="Times New Roman"/>
                <w:b/>
                <w:i w:val="false"/>
                <w:color w:val="000000"/>
                <w:sz w:val="20"/>
              </w:rPr>
              <w:t>объем</w:t>
            </w:r>
            <w:r>
              <w:rPr>
                <w:rFonts w:ascii="Times New Roman"/>
                <w:b/>
                <w:i w:val="false"/>
                <w:color w:val="000000"/>
                <w:sz w:val="20"/>
              </w:rPr>
              <w:t xml:space="preserve">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p>
          <w:p>
            <w:pPr>
              <w:spacing w:after="20"/>
              <w:ind w:left="20"/>
              <w:jc w:val="both"/>
            </w:pPr>
            <w:r>
              <w:rPr>
                <w:rFonts w:ascii="Times New Roman"/>
                <w:b w:val="false"/>
                <w:i w:val="false"/>
                <w:color w:val="000000"/>
                <w:sz w:val="20"/>
              </w:rPr>
              <w:t>
</w:t>
            </w:r>
            <w:r>
              <w:rPr>
                <w:rFonts w:ascii="Times New Roman"/>
                <w:b/>
                <w:i w:val="false"/>
                <w:color w:val="000000"/>
                <w:sz w:val="20"/>
              </w:rPr>
              <w:t>наличие</w:t>
            </w:r>
            <w:r>
              <w:rPr>
                <w:rFonts w:ascii="Times New Roman"/>
                <w:b/>
                <w:i w:val="false"/>
                <w:color w:val="000000"/>
                <w:sz w:val="20"/>
              </w:rPr>
              <w:t xml:space="preserve"> кодекса корпоративного управления, утвержденного общим собранием акционеров эмитента долговых ценных бумаг;</w:t>
            </w:r>
          </w:p>
          <w:p>
            <w:pPr>
              <w:spacing w:after="20"/>
              <w:ind w:left="20"/>
              <w:jc w:val="both"/>
            </w:pPr>
            <w:r>
              <w:rPr>
                <w:rFonts w:ascii="Times New Roman"/>
                <w:b w:val="false"/>
                <w:i w:val="false"/>
                <w:color w:val="000000"/>
                <w:sz w:val="20"/>
              </w:rPr>
              <w:t>
</w:t>
            </w:r>
            <w:r>
              <w:rPr>
                <w:rFonts w:ascii="Times New Roman"/>
                <w:b/>
                <w:i w:val="false"/>
                <w:color w:val="000000"/>
                <w:sz w:val="20"/>
              </w:rPr>
              <w:t>наличие</w:t>
            </w:r>
            <w:r>
              <w:rPr>
                <w:rFonts w:ascii="Times New Roman"/>
                <w:b w:val="false"/>
                <w:i w:val="false"/>
                <w:color w:val="000000"/>
                <w:sz w:val="20"/>
              </w:rPr>
              <w:t xml:space="preserve"> </w:t>
            </w:r>
            <w:r>
              <w:rPr>
                <w:rFonts w:ascii="Times New Roman"/>
                <w:b/>
                <w:i w:val="false"/>
                <w:color w:val="000000"/>
                <w:sz w:val="20"/>
              </w:rPr>
              <w:t>маркет-мейкера</w:t>
            </w:r>
            <w:r>
              <w:rPr>
                <w:rFonts w:ascii="Times New Roman"/>
                <w:b/>
                <w:i w:val="false"/>
                <w:color w:val="000000"/>
                <w:sz w:val="20"/>
              </w:rPr>
              <w:t xml:space="preserve"> по долговым ценным бумагам во время нахождения данных ценных бумаг в официальном списке фондовой биржи;</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 ценные бумаги иностранных государств, имеющих суверенный рейтинг не ниже "ВВВ-"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негосударственные долговые ценные бумаги иностранных эмитентов, имеющие рейтинговую оценку не ниже "ВВВ-"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акции иностранных эмитентов, имеющих рейтинговую оценку не ниже "ВВВ-"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15)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 или рейтинговую оценку не ниже "</w:t>
            </w:r>
            <w:r>
              <w:rPr>
                <w:rFonts w:ascii="Times New Roman"/>
                <w:b/>
                <w:i w:val="false"/>
                <w:color w:val="000000"/>
                <w:sz w:val="20"/>
              </w:rPr>
              <w:t>kzBB</w:t>
            </w:r>
            <w:r>
              <w:rPr>
                <w:rFonts w:ascii="Times New Roman"/>
                <w:b/>
                <w:i w:val="false"/>
                <w:color w:val="000000"/>
                <w:sz w:val="20"/>
              </w:rPr>
              <w:t xml:space="preserve">-" по национальной шкале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по национальной шкале одного из </w:t>
            </w:r>
            <w:r>
              <w:rPr>
                <w:rFonts w:ascii="Times New Roman"/>
                <w:b/>
                <w:i w:val="false"/>
                <w:color w:val="000000"/>
                <w:sz w:val="20"/>
              </w:rPr>
              <w:t>других рейтинговых агентств,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депозитарные расписки, базовым активом которых являются акции юридических лиц, включенные в сектор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 долговые ценные бумаги, выпущенные международными финансовыми организациями, имеющие международную рейтинговую оценку не ниже "ВВВ-" агентства </w:t>
            </w:r>
            <w:r>
              <w:rPr>
                <w:rFonts w:ascii="Times New Roman"/>
                <w:b/>
                <w:i w:val="false"/>
                <w:color w:val="000000"/>
                <w:sz w:val="20"/>
              </w:rPr>
              <w:t>Standard</w:t>
            </w:r>
            <w:r>
              <w:rPr>
                <w:rFonts w:ascii="Times New Roman"/>
                <w:b/>
                <w:i w:val="false"/>
                <w:color w:val="000000"/>
                <w:sz w:val="20"/>
              </w:rPr>
              <w:t xml:space="preserve"> &amp; </w:t>
            </w:r>
            <w:r>
              <w:rPr>
                <w:rFonts w:ascii="Times New Roman"/>
                <w:b/>
                <w:i w:val="false"/>
                <w:color w:val="000000"/>
                <w:sz w:val="20"/>
              </w:rPr>
              <w:t>Poor's</w:t>
            </w:r>
            <w:r>
              <w:rPr>
                <w:rFonts w:ascii="Times New Roman"/>
                <w:b/>
                <w:i w:val="false"/>
                <w:color w:val="000000"/>
                <w:sz w:val="20"/>
              </w:rPr>
              <w:t xml:space="preserve">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18) аффинированные драгоценные металлы и металлические депозиты;</w:t>
            </w:r>
          </w:p>
          <w:p>
            <w:pPr>
              <w:spacing w:after="20"/>
              <w:ind w:left="20"/>
              <w:jc w:val="both"/>
            </w:pPr>
            <w:r>
              <w:rPr>
                <w:rFonts w:ascii="Times New Roman"/>
                <w:b w:val="false"/>
                <w:i w:val="false"/>
                <w:color w:val="000000"/>
                <w:sz w:val="20"/>
              </w:rPr>
              <w:t>
</w:t>
            </w:r>
            <w:r>
              <w:rPr>
                <w:rFonts w:ascii="Times New Roman"/>
                <w:b/>
                <w:i w:val="false"/>
                <w:color w:val="000000"/>
                <w:sz w:val="20"/>
              </w:rPr>
              <w:t>19)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 дебиторская задолженность (за вычетом резервов на возможные потери) организаций, не являющихся </w:t>
            </w:r>
            <w:r>
              <w:rPr>
                <w:rFonts w:ascii="Times New Roman"/>
                <w:b/>
                <w:i w:val="false"/>
                <w:color w:val="000000"/>
                <w:sz w:val="20"/>
              </w:rPr>
              <w:t>аффилиированными</w:t>
            </w:r>
            <w:r>
              <w:rPr>
                <w:rFonts w:ascii="Times New Roman"/>
                <w:b/>
                <w:i w:val="false"/>
                <w:color w:val="000000"/>
                <w:sz w:val="20"/>
              </w:rPr>
              <w:t xml:space="preserve"> лицами по отношению к управляющему инвестиционным портфелем, за вычетом дебиторской задолженности работников и других лиц, не просроченная по условиям договора, в сумме, не превышающей десяти процентов от суммы активов по балансу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i w:val="false"/>
                <w:color w:val="000000"/>
                <w:sz w:val="20"/>
              </w:rPr>
              <w:t>21) основные средства управляющего инвестиционным портфелем в виде недвижимого имущества в сумме, не превышающей пяти процентов от суммы активов по балансу управляющего инвестиционным портфелем.</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Пункт 5 с изменениями, внесенными постановлениями Правления Национального Банка РК от 16.07.2014 </w:t>
            </w:r>
            <w:r>
              <w:rPr>
                <w:rFonts w:ascii="Times New Roman"/>
                <w:b w:val="false"/>
                <w:i w:val="false"/>
                <w:color w:val="000000"/>
                <w:sz w:val="20"/>
              </w:rPr>
              <w:t>№ 152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24.12.2014 </w:t>
            </w:r>
            <w:r>
              <w:rPr>
                <w:rFonts w:ascii="Times New Roman"/>
                <w:b w:val="false"/>
                <w:i w:val="false"/>
                <w:color w:val="000000"/>
                <w:sz w:val="20"/>
              </w:rPr>
              <w:t>№ 244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27.03.2017 </w:t>
            </w:r>
            <w:r>
              <w:rPr>
                <w:rFonts w:ascii="Times New Roman"/>
                <w:b w:val="false"/>
                <w:i w:val="false"/>
                <w:color w:val="000000"/>
                <w:sz w:val="20"/>
              </w:rPr>
              <w:t>№ 54</w:t>
            </w:r>
            <w:r>
              <w:rPr>
                <w:rFonts w:ascii="Times New Roman"/>
                <w:b w:val="false"/>
                <w:i w:val="false"/>
                <w:color w:val="ff0000"/>
                <w:sz w:val="20"/>
              </w:rPr>
              <w:t xml:space="preserve"> (вводится в действие с 01.06.2017).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6. В случае совмещения управляющего инвестиционным портфелем профессиональной деятельности на рынке ценных бумаг расчет </w:t>
            </w:r>
            <w:r>
              <w:rPr>
                <w:rFonts w:ascii="Times New Roman"/>
                <w:b/>
                <w:i w:val="false"/>
                <w:color w:val="000000"/>
                <w:sz w:val="20"/>
              </w:rPr>
              <w:t>пруденциального</w:t>
            </w:r>
            <w:r>
              <w:rPr>
                <w:rFonts w:ascii="Times New Roman"/>
                <w:b/>
                <w:i w:val="false"/>
                <w:color w:val="000000"/>
                <w:sz w:val="20"/>
              </w:rPr>
              <w:t xml:space="preserve"> норматива - "Коэффициент достаточности собственного капитала" и другие нормативы осуществляются с учетом особенностей, установленных </w:t>
            </w:r>
            <w:r>
              <w:rPr>
                <w:rFonts w:ascii="Times New Roman"/>
                <w:b w:val="false"/>
                <w:i w:val="false"/>
                <w:color w:val="000000"/>
                <w:sz w:val="20"/>
              </w:rPr>
              <w:t>постановлением</w:t>
            </w:r>
            <w:r>
              <w:rPr>
                <w:rFonts w:ascii="Times New Roman"/>
                <w:b/>
                <w:i w:val="false"/>
                <w:color w:val="000000"/>
                <w:sz w:val="20"/>
              </w:rPr>
              <w:t xml:space="preserve"> Правления Национального Банка Республики Казахстан от 16 июля 2014 года № 146 "Об установлении </w:t>
            </w:r>
            <w:r>
              <w:rPr>
                <w:rFonts w:ascii="Times New Roman"/>
                <w:b/>
                <w:i w:val="false"/>
                <w:color w:val="000000"/>
                <w:sz w:val="20"/>
              </w:rPr>
              <w:t>пруденциального</w:t>
            </w:r>
            <w:r>
              <w:rPr>
                <w:rFonts w:ascii="Times New Roman"/>
                <w:b/>
                <w:i w:val="false"/>
                <w:color w:val="000000"/>
                <w:sz w:val="20"/>
              </w:rPr>
              <w:t xml:space="preserve"> норматива для организаций, осуществляющих брокерскую и (или) дилерскую деятельность на рынке ценных бумаг, утверждении Правил расчета </w:t>
            </w:r>
            <w:r>
              <w:rPr>
                <w:rFonts w:ascii="Times New Roman"/>
                <w:b/>
                <w:i w:val="false"/>
                <w:color w:val="000000"/>
                <w:sz w:val="20"/>
              </w:rPr>
              <w:t>пруденциального</w:t>
            </w:r>
            <w:r>
              <w:rPr>
                <w:rFonts w:ascii="Times New Roman"/>
                <w:b/>
                <w:i w:val="false"/>
                <w:color w:val="000000"/>
                <w:sz w:val="20"/>
              </w:rPr>
              <w:t xml:space="preserve"> норматива для организаций, осуществляющих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9736.</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Пункт 6 в редакции постановления Правления Национального Банка РК от 19.12.2015 </w:t>
            </w:r>
            <w:r>
              <w:rPr>
                <w:rFonts w:ascii="Times New Roman"/>
                <w:b w:val="false"/>
                <w:i w:val="false"/>
                <w:color w:val="000000"/>
                <w:sz w:val="20"/>
              </w:rPr>
              <w:t>№ 250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7. Управляющий инвестиционным портфелем производит расчет </w:t>
            </w:r>
            <w:r>
              <w:rPr>
                <w:rFonts w:ascii="Times New Roman"/>
                <w:b/>
                <w:i w:val="false"/>
                <w:color w:val="000000"/>
                <w:sz w:val="20"/>
              </w:rPr>
              <w:t>пруденциального</w:t>
            </w:r>
            <w:r>
              <w:rPr>
                <w:rFonts w:ascii="Times New Roman"/>
                <w:b/>
                <w:i w:val="false"/>
                <w:color w:val="000000"/>
                <w:sz w:val="20"/>
              </w:rPr>
              <w:t xml:space="preserve"> норматива каждый рабочий день по состоянию на конец предшествующего рабочего дня с соблюдением требования, указанного в </w:t>
            </w:r>
            <w:r>
              <w:rPr>
                <w:rFonts w:ascii="Times New Roman"/>
                <w:b w:val="false"/>
                <w:i w:val="false"/>
                <w:color w:val="000000"/>
                <w:sz w:val="20"/>
              </w:rPr>
              <w:t>пункте 12</w:t>
            </w:r>
            <w:r>
              <w:rPr>
                <w:rFonts w:ascii="Times New Roman"/>
                <w:b/>
                <w:i w:val="false"/>
                <w:color w:val="000000"/>
                <w:sz w:val="20"/>
              </w:rPr>
              <w:t xml:space="preserve"> Правил, по форме согласно </w:t>
            </w:r>
            <w:r>
              <w:rPr>
                <w:rFonts w:ascii="Times New Roman"/>
                <w:b w:val="false"/>
                <w:i w:val="false"/>
                <w:color w:val="000000"/>
                <w:sz w:val="20"/>
              </w:rPr>
              <w:t>приложению</w:t>
            </w:r>
            <w:r>
              <w:rPr>
                <w:rFonts w:ascii="Times New Roman"/>
                <w:b/>
                <w:i w:val="false"/>
                <w:color w:val="000000"/>
                <w:sz w:val="20"/>
              </w:rPr>
              <w:t xml:space="preserve"> к Правилам. Расчет </w:t>
            </w:r>
            <w:r>
              <w:rPr>
                <w:rFonts w:ascii="Times New Roman"/>
                <w:b/>
                <w:i w:val="false"/>
                <w:color w:val="000000"/>
                <w:sz w:val="20"/>
              </w:rPr>
              <w:t>пруденциального</w:t>
            </w:r>
            <w:r>
              <w:rPr>
                <w:rFonts w:ascii="Times New Roman"/>
                <w:b/>
                <w:i w:val="false"/>
                <w:color w:val="000000"/>
                <w:sz w:val="20"/>
              </w:rPr>
              <w:t xml:space="preserve"> норматива и дополнительные сведения для расчета </w:t>
            </w:r>
            <w:r>
              <w:rPr>
                <w:rFonts w:ascii="Times New Roman"/>
                <w:b/>
                <w:i w:val="false"/>
                <w:color w:val="000000"/>
                <w:sz w:val="20"/>
              </w:rPr>
              <w:t>пруденциального</w:t>
            </w:r>
            <w:r>
              <w:rPr>
                <w:rFonts w:ascii="Times New Roman"/>
                <w:b/>
                <w:i w:val="false"/>
                <w:color w:val="000000"/>
                <w:sz w:val="20"/>
              </w:rPr>
              <w:t xml:space="preserve"> норматива (далее – дополнительные сведения) на бумажных носителях подписываются первым руководителем (на период его отсутствия – лицом, его замещающим), главным бухгалтером управляющего инвестиционным портфелем, заверяются печатью и хранятся у управляющего инвестиционным портфелем.</w:t>
            </w:r>
          </w:p>
          <w:p>
            <w:pPr>
              <w:spacing w:after="0"/>
              <w:ind w:left="0"/>
              <w:jc w:val="both"/>
            </w:pPr>
            <w:r>
              <w:rPr>
                <w:rFonts w:ascii="Times New Roman"/>
                <w:b/>
                <w:i w:val="false"/>
                <w:color w:val="000000"/>
              </w:rPr>
              <w:t xml:space="preserve"> 2. Порядок представления расчета пруденциального</w:t>
            </w:r>
            <w:r>
              <w:br/>
            </w:r>
            <w:r>
              <w:rPr>
                <w:rFonts w:ascii="Times New Roman"/>
                <w:b/>
                <w:i w:val="false"/>
                <w:color w:val="000000"/>
              </w:rPr>
              <w:t>норматива и дополнительных сведений для расчета</w:t>
            </w:r>
            <w:r>
              <w:br/>
            </w:r>
            <w:r>
              <w:rPr>
                <w:rFonts w:ascii="Times New Roman"/>
                <w:b/>
                <w:i w:val="false"/>
                <w:color w:val="000000"/>
              </w:rPr>
              <w:t>пруденциального норматива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Расчет </w:t>
            </w:r>
            <w:r>
              <w:rPr>
                <w:rFonts w:ascii="Times New Roman"/>
                <w:b/>
                <w:i w:val="false"/>
                <w:color w:val="000000"/>
                <w:sz w:val="20"/>
              </w:rPr>
              <w:t>пруденциального</w:t>
            </w:r>
            <w:r>
              <w:rPr>
                <w:rFonts w:ascii="Times New Roman"/>
                <w:b/>
                <w:i w:val="false"/>
                <w:color w:val="000000"/>
                <w:sz w:val="20"/>
              </w:rPr>
              <w:t xml:space="preserve"> норматива и дополнительные сведения представляются в уполномоченный орган в соответствии с </w:t>
            </w:r>
            <w:r>
              <w:rPr>
                <w:rFonts w:ascii="Times New Roman"/>
                <w:b w:val="false"/>
                <w:i w:val="false"/>
                <w:color w:val="000000"/>
                <w:sz w:val="20"/>
              </w:rPr>
              <w:t>приложением</w:t>
            </w:r>
            <w:r>
              <w:rPr>
                <w:rFonts w:ascii="Times New Roman"/>
                <w:b/>
                <w:i w:val="false"/>
                <w:color w:val="000000"/>
                <w:sz w:val="20"/>
              </w:rPr>
              <w:t xml:space="preserve"> к Правилам за последний календарный день отчетного месяца, не позднее пятого рабочего дня месяца, следующего за отчетным месяцем.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 xml:space="preserve">Расчет </w:t>
            </w:r>
            <w:r>
              <w:rPr>
                <w:rFonts w:ascii="Times New Roman"/>
                <w:b/>
                <w:i w:val="false"/>
                <w:color w:val="000000"/>
                <w:sz w:val="20"/>
              </w:rPr>
              <w:t>пруденциального</w:t>
            </w:r>
            <w:r>
              <w:rPr>
                <w:rFonts w:ascii="Times New Roman"/>
                <w:b/>
                <w:i w:val="false"/>
                <w:color w:val="000000"/>
                <w:sz w:val="20"/>
              </w:rPr>
              <w:t xml:space="preserve"> норматива и дополнительные сведения представляются в электронном формате.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Пункт 9 в редакции постановления Правления Национального Банка РК от 29.01.2018 </w:t>
            </w:r>
            <w:r>
              <w:rPr>
                <w:rFonts w:ascii="Times New Roman"/>
                <w:b w:val="false"/>
                <w:i w:val="false"/>
                <w:color w:val="000000"/>
                <w:sz w:val="20"/>
              </w:rPr>
              <w:t>№ 5</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w:t>
            </w:r>
            <w:r>
              <w:rPr>
                <w:rFonts w:ascii="Times New Roman"/>
                <w:b w:val="false"/>
                <w:i w:val="false"/>
                <w:color w:val="ff0000"/>
                <w:sz w:val="20"/>
              </w:rPr>
              <w:t xml:space="preserve">10. Исключен постановлением Правления Национального Банка РК от 29.01.2018 </w:t>
            </w:r>
            <w:r>
              <w:rPr>
                <w:rFonts w:ascii="Times New Roman"/>
                <w:b w:val="false"/>
                <w:i w:val="false"/>
                <w:color w:val="000000"/>
                <w:sz w:val="20"/>
              </w:rPr>
              <w:t>№ 5</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 Данные в расчете </w:t>
            </w:r>
            <w:r>
              <w:rPr>
                <w:rFonts w:ascii="Times New Roman"/>
                <w:b/>
                <w:i w:val="false"/>
                <w:color w:val="000000"/>
                <w:sz w:val="20"/>
              </w:rPr>
              <w:t>пруденциального</w:t>
            </w:r>
            <w:r>
              <w:rPr>
                <w:rFonts w:ascii="Times New Roman"/>
                <w:b/>
                <w:i w:val="false"/>
                <w:color w:val="000000"/>
                <w:sz w:val="20"/>
              </w:rPr>
              <w:t xml:space="preserve"> норматива и дополнительных сведениях указываются в национальной валюте Республики Казахстан - тенге.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Единица измерения, используемая при заполнении расчета </w:t>
            </w:r>
            <w:r>
              <w:rPr>
                <w:rFonts w:ascii="Times New Roman"/>
                <w:b/>
                <w:i w:val="false"/>
                <w:color w:val="000000"/>
                <w:sz w:val="20"/>
              </w:rPr>
              <w:t>пруденциального</w:t>
            </w:r>
            <w:r>
              <w:rPr>
                <w:rFonts w:ascii="Times New Roman"/>
                <w:b/>
                <w:i w:val="false"/>
                <w:color w:val="000000"/>
                <w:sz w:val="20"/>
              </w:rPr>
              <w:t xml:space="preserve"> норматива и дополнительных сведений,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Дополнительные сведения и расчет </w:t>
            </w:r>
            <w:r>
              <w:rPr>
                <w:rFonts w:ascii="Times New Roman"/>
                <w:b/>
                <w:i w:val="false"/>
                <w:color w:val="000000"/>
                <w:sz w:val="20"/>
              </w:rPr>
              <w:t>пруденциального</w:t>
            </w:r>
            <w:r>
              <w:rPr>
                <w:rFonts w:ascii="Times New Roman"/>
                <w:b/>
                <w:i w:val="false"/>
                <w:color w:val="000000"/>
                <w:sz w:val="20"/>
              </w:rPr>
              <w:t xml:space="preserve"> норматива в электронном формате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w:t>
            </w:r>
            <w:r>
              <w:rPr>
                <w:rFonts w:ascii="Times New Roman"/>
                <w:b/>
                <w:i w:val="false"/>
                <w:color w:val="000000"/>
                <w:sz w:val="20"/>
              </w:rPr>
              <w:t>некорректируемость</w:t>
            </w:r>
            <w:r>
              <w:rPr>
                <w:rFonts w:ascii="Times New Roman"/>
                <w:b/>
                <w:i w:val="false"/>
                <w:color w:val="000000"/>
                <w:sz w:val="20"/>
              </w:rPr>
              <w:t xml:space="preserve"> представляемых данных.</w:t>
            </w:r>
          </w:p>
          <w:p>
            <w:pPr>
              <w:spacing w:after="20"/>
              <w:ind w:left="20"/>
              <w:jc w:val="both"/>
            </w:pPr>
            <w:r>
              <w:rPr>
                <w:rFonts w:ascii="Times New Roman"/>
                <w:b w:val="false"/>
                <w:i w:val="false"/>
                <w:color w:val="000000"/>
                <w:sz w:val="20"/>
              </w:rPr>
              <w:t>
</w:t>
            </w:r>
            <w:r>
              <w:rPr>
                <w:rFonts w:ascii="Times New Roman"/>
                <w:b/>
                <w:i w:val="false"/>
                <w:color w:val="000000"/>
                <w:sz w:val="20"/>
              </w:rPr>
              <w:t>14. Идентичность данных, представляемых в электронном формате, данным на бумажном носителе обеспечивается первым руководителем управляющего инвестиционным портфелем (на период его отсутствия – лицом, его замещающим) и главным бухгалтером.</w:t>
            </w:r>
          </w:p>
          <w:p>
            <w:pPr>
              <w:spacing w:after="20"/>
              <w:ind w:left="20"/>
              <w:jc w:val="both"/>
            </w:pPr>
            <w:r>
              <w:rPr>
                <w:rFonts w:ascii="Times New Roman"/>
                <w:b w:val="false"/>
                <w:i w:val="false"/>
                <w:color w:val="000000"/>
                <w:sz w:val="20"/>
              </w:rPr>
              <w:t>
</w:t>
            </w:r>
            <w:r>
              <w:rPr>
                <w:rFonts w:ascii="Times New Roman"/>
                <w:b/>
                <w:i w:val="false"/>
                <w:color w:val="000000"/>
                <w:sz w:val="20"/>
              </w:rPr>
              <w:t>15. В случае необходимости внесения изменений и (или) дополнений в отчетность, управляющий инвестиционным портфелем представляет в уполномоченный орган доработанную отчетность и письменное объяснение с указанием причин необходимости внесения изменений и (или) дополнений в отчетность.</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 В случае нарушения </w:t>
            </w:r>
            <w:r>
              <w:rPr>
                <w:rFonts w:ascii="Times New Roman"/>
                <w:b/>
                <w:i w:val="false"/>
                <w:color w:val="000000"/>
                <w:sz w:val="20"/>
              </w:rPr>
              <w:t>пруденциального</w:t>
            </w:r>
            <w:r>
              <w:rPr>
                <w:rFonts w:ascii="Times New Roman"/>
                <w:b/>
                <w:i w:val="false"/>
                <w:color w:val="000000"/>
                <w:sz w:val="20"/>
              </w:rPr>
              <w:t xml:space="preserve"> норматива "Коэффициент достаточности собственного капитала" управляющий инвестиционным портфелем в течение трех календарных дней с даты нарушения сообщает уполномоченному органу о факте и причинах нарушения </w:t>
            </w:r>
            <w:r>
              <w:rPr>
                <w:rFonts w:ascii="Times New Roman"/>
                <w:b/>
                <w:i w:val="false"/>
                <w:color w:val="000000"/>
                <w:sz w:val="20"/>
              </w:rPr>
              <w:t>пруденциального</w:t>
            </w:r>
            <w:r>
              <w:rPr>
                <w:rFonts w:ascii="Times New Roman"/>
                <w:b/>
                <w:i w:val="false"/>
                <w:color w:val="000000"/>
                <w:sz w:val="20"/>
              </w:rPr>
              <w:t xml:space="preserve"> норматива с приложением плана мероприятий по его устранению.</w:t>
            </w:r>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w:t>
                  </w:r>
                  <w:r>
                    <w:br/>
                  </w:r>
                  <w:r>
                    <w:rPr>
                      <w:rFonts w:ascii="Times New Roman"/>
                      <w:b/>
                      <w:i w:val="false"/>
                      <w:color w:val="000000"/>
                      <w:sz w:val="20"/>
                    </w:rPr>
                    <w:t>к Правилам расчета значений</w:t>
                  </w:r>
                  <w:r>
                    <w:br/>
                  </w:r>
                  <w:r>
                    <w:rPr>
                      <w:rFonts w:ascii="Times New Roman"/>
                      <w:b/>
                      <w:i w:val="false"/>
                      <w:color w:val="000000"/>
                      <w:sz w:val="20"/>
                    </w:rPr>
                    <w:t>пруденциального</w:t>
                  </w:r>
                  <w:r>
                    <w:rPr>
                      <w:rFonts w:ascii="Times New Roman"/>
                      <w:b/>
                      <w:i w:val="false"/>
                      <w:color w:val="000000"/>
                      <w:sz w:val="20"/>
                    </w:rPr>
                    <w:t xml:space="preserve"> норматива</w:t>
                  </w:r>
                  <w:r>
                    <w:br/>
                  </w:r>
                  <w:r>
                    <w:rPr>
                      <w:rFonts w:ascii="Times New Roman"/>
                      <w:b/>
                      <w:i w:val="false"/>
                      <w:color w:val="000000"/>
                      <w:sz w:val="20"/>
                    </w:rPr>
                    <w:t>для организаций, осуществляющих управление</w:t>
                  </w:r>
                  <w:r>
                    <w:br/>
                  </w:r>
                  <w:r>
                    <w:rPr>
                      <w:rFonts w:ascii="Times New Roman"/>
                      <w:b/>
                      <w:i w:val="false"/>
                      <w:color w:val="000000"/>
                      <w:sz w:val="20"/>
                    </w:rPr>
                    <w:t>инвестиционным портфелем</w:t>
                  </w:r>
                </w:p>
              </w:tc>
            </w:tr>
          </w:tbl>
          <w:p/>
          <w:p>
            <w:pPr>
              <w:spacing w:after="20"/>
              <w:ind w:left="20"/>
              <w:jc w:val="both"/>
            </w:pPr>
            <w:r>
              <w:rPr>
                <w:rFonts w:ascii="Times New Roman"/>
                <w:b w:val="false"/>
                <w:i w:val="false"/>
                <w:color w:val="ff0000"/>
                <w:sz w:val="20"/>
              </w:rPr>
              <w:t xml:space="preserve">
Сноска. Приложение в редакции постановления Правления Национального Банка РК от 27.03.2017 </w:t>
            </w:r>
            <w:r>
              <w:rPr>
                <w:rFonts w:ascii="Times New Roman"/>
                <w:b w:val="false"/>
                <w:i w:val="false"/>
                <w:color w:val="ff0000"/>
                <w:sz w:val="20"/>
              </w:rPr>
              <w:t>№ 54</w:t>
            </w:r>
            <w:r>
              <w:rPr>
                <w:rFonts w:ascii="Times New Roman"/>
                <w:b w:val="false"/>
                <w:i w:val="false"/>
                <w:color w:val="ff0000"/>
                <w:sz w:val="20"/>
              </w:rPr>
              <w:t xml:space="preserve"> (вводится в действие с 01.06.2017).</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Форма, предназначенная для сбора административных данных</w:t>
            </w:r>
            <w:r>
              <w:br/>
            </w:r>
            <w:r>
              <w:rPr>
                <w:rFonts w:ascii="Times New Roman"/>
                <w:b w:val="false"/>
                <w:i w:val="false"/>
                <w:color w:val="000000"/>
                <w:sz w:val="20"/>
              </w:rPr>
              <w:t xml:space="preserve">                   </w:t>
            </w:r>
            <w:r>
              <w:rPr>
                <w:rFonts w:ascii="Times New Roman"/>
                <w:b/>
                <w:i w:val="false"/>
                <w:color w:val="000000"/>
                <w:sz w:val="20"/>
              </w:rPr>
              <w:t xml:space="preserve">      Расчет </w:t>
            </w:r>
            <w:r>
              <w:rPr>
                <w:rFonts w:ascii="Times New Roman"/>
                <w:b/>
                <w:i w:val="false"/>
                <w:color w:val="000000"/>
                <w:sz w:val="20"/>
              </w:rPr>
              <w:t>пруденциального</w:t>
            </w:r>
            <w:r>
              <w:rPr>
                <w:rFonts w:ascii="Times New Roman"/>
                <w:b/>
                <w:i w:val="false"/>
                <w:color w:val="000000"/>
                <w:sz w:val="20"/>
              </w:rPr>
              <w:t xml:space="preserve"> норматива</w:t>
            </w:r>
            <w:r>
              <w:br/>
            </w:r>
            <w:r>
              <w:rPr>
                <w:rFonts w:ascii="Times New Roman"/>
                <w:b w:val="false"/>
                <w:i w:val="false"/>
                <w:color w:val="000000"/>
                <w:sz w:val="20"/>
              </w:rPr>
              <w:t xml:space="preserve"> </w:t>
            </w:r>
            <w:r>
              <w:rPr>
                <w:rFonts w:ascii="Times New Roman"/>
                <w:b/>
                <w:i w:val="false"/>
                <w:color w:val="000000"/>
                <w:sz w:val="20"/>
              </w:rPr>
              <w:t>      Отчетный период: по состоянию на "_____" _________________ 20__ года</w:t>
            </w:r>
            <w:r>
              <w:br/>
            </w:r>
            <w:r>
              <w:rPr>
                <w:rFonts w:ascii="Times New Roman"/>
                <w:b w:val="false"/>
                <w:i w:val="false"/>
                <w:color w:val="000000"/>
                <w:sz w:val="20"/>
              </w:rPr>
              <w:t xml:space="preserve"> </w:t>
            </w:r>
            <w:r>
              <w:rPr>
                <w:rFonts w:ascii="Times New Roman"/>
                <w:b/>
                <w:i w:val="false"/>
                <w:color w:val="000000"/>
                <w:sz w:val="20"/>
              </w:rPr>
              <w:t>      Индекс: К1-УИП</w:t>
            </w:r>
            <w:r>
              <w:br/>
            </w:r>
            <w:r>
              <w:rPr>
                <w:rFonts w:ascii="Times New Roman"/>
                <w:b w:val="false"/>
                <w:i w:val="false"/>
                <w:color w:val="000000"/>
                <w:sz w:val="20"/>
              </w:rPr>
              <w:t xml:space="preserve"> </w:t>
            </w:r>
            <w:r>
              <w:rPr>
                <w:rFonts w:ascii="Times New Roman"/>
                <w:b/>
                <w:i w:val="false"/>
                <w:color w:val="000000"/>
                <w:sz w:val="20"/>
              </w:rPr>
              <w:t>      Периодичность: ежемесячная</w:t>
            </w:r>
            <w:r>
              <w:br/>
            </w:r>
            <w:r>
              <w:rPr>
                <w:rFonts w:ascii="Times New Roman"/>
                <w:b w:val="false"/>
                <w:i w:val="false"/>
                <w:color w:val="000000"/>
                <w:sz w:val="20"/>
              </w:rPr>
              <w:t xml:space="preserve"> </w:t>
            </w:r>
            <w:r>
              <w:rPr>
                <w:rFonts w:ascii="Times New Roman"/>
                <w:b/>
                <w:i w:val="false"/>
                <w:color w:val="000000"/>
                <w:sz w:val="20"/>
              </w:rPr>
              <w:t>      Представляют: организации, осуществляющие управление инвестиционным</w:t>
            </w:r>
            <w:r>
              <w:br/>
            </w:r>
            <w:r>
              <w:rPr>
                <w:rFonts w:ascii="Times New Roman"/>
                <w:b/>
                <w:i w:val="false"/>
                <w:color w:val="000000"/>
                <w:sz w:val="20"/>
              </w:rPr>
              <w:t>портфелем</w:t>
            </w:r>
            <w:r>
              <w:br/>
            </w:r>
            <w:r>
              <w:rPr>
                <w:rFonts w:ascii="Times New Roman"/>
                <w:b w:val="false"/>
                <w:i w:val="false"/>
                <w:color w:val="000000"/>
                <w:sz w:val="20"/>
              </w:rPr>
              <w:t xml:space="preserve"> </w:t>
            </w:r>
            <w:r>
              <w:rPr>
                <w:rFonts w:ascii="Times New Roman"/>
                <w:b/>
                <w:i w:val="false"/>
                <w:color w:val="000000"/>
                <w:sz w:val="20"/>
              </w:rPr>
              <w:t>      Куда представляется форма: Национальный Банк Республики Казахстан</w:t>
            </w:r>
            <w:r>
              <w:br/>
            </w:r>
            <w:r>
              <w:rPr>
                <w:rFonts w:ascii="Times New Roman"/>
                <w:b w:val="false"/>
                <w:i w:val="false"/>
                <w:color w:val="000000"/>
                <w:sz w:val="20"/>
              </w:rPr>
              <w:t xml:space="preserve"> </w:t>
            </w:r>
            <w:r>
              <w:rPr>
                <w:rFonts w:ascii="Times New Roman"/>
                <w:b/>
                <w:i w:val="false"/>
                <w:color w:val="000000"/>
                <w:sz w:val="20"/>
              </w:rPr>
              <w:t>      Срок представления: не позднее 5 (пятого) рабочего дня месяца, следующего за</w:t>
            </w:r>
            <w:r>
              <w:br/>
            </w:r>
            <w:r>
              <w:rPr>
                <w:rFonts w:ascii="Times New Roman"/>
                <w:b/>
                <w:i w:val="false"/>
                <w:color w:val="000000"/>
                <w:sz w:val="20"/>
              </w:rPr>
              <w:t>отчетным месяцем</w:t>
            </w:r>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Форма</w:t>
                  </w:r>
                </w:p>
              </w:tc>
            </w:tr>
          </w:tbl>
          <w:p/>
          <w:p>
            <w:pPr>
              <w:spacing w:after="20"/>
              <w:ind w:left="20"/>
              <w:jc w:val="both"/>
            </w:pPr>
            <w:r>
              <w:rPr>
                <w:rFonts w:ascii="Times New Roman"/>
                <w:b w:val="false"/>
                <w:i w:val="false"/>
                <w:color w:val="000000"/>
                <w:sz w:val="20"/>
              </w:rPr>
              <w:t>
</w:t>
            </w:r>
            <w:r>
              <w:rPr>
                <w:rFonts w:ascii="Times New Roman"/>
                <w:b/>
                <w:i w:val="false"/>
                <w:color w:val="000000"/>
                <w:sz w:val="20"/>
              </w:rPr>
              <w:t xml:space="preserve"> _________________________________________________________________________</w:t>
            </w:r>
            <w:r>
              <w:br/>
            </w:r>
            <w:r>
              <w:rPr>
                <w:rFonts w:ascii="Times New Roman"/>
                <w:b/>
                <w:i w:val="false"/>
                <w:color w:val="000000"/>
                <w:sz w:val="20"/>
              </w:rPr>
              <w:t xml:space="preserve"> (наименование организации, осуществляющей управление инвестиционным портфелем)</w:t>
            </w:r>
          </w:p>
          <w:p>
            <w:pPr>
              <w:spacing w:after="20"/>
              <w:ind w:left="20"/>
              <w:jc w:val="both"/>
            </w:pPr>
            <w:r>
              <w:rPr>
                <w:rFonts w:ascii="Times New Roman"/>
                <w:b w:val="false"/>
                <w:i w:val="false"/>
                <w:color w:val="000000"/>
                <w:sz w:val="20"/>
              </w:rPr>
              <w:t>
</w:t>
            </w:r>
            <w:r>
              <w:rPr>
                <w:rFonts w:ascii="Times New Roman"/>
                <w:b/>
                <w:i w:val="false"/>
                <w:color w:val="000000"/>
                <w:sz w:val="20"/>
              </w:rPr>
              <w:t>Таблица 1. Расчет норматива достаточности собственного капитала</w:t>
            </w:r>
            <w:r>
              <w:br/>
            </w:r>
            <w:r>
              <w:rPr>
                <w:rFonts w:ascii="Times New Roman"/>
                <w:b w:val="false"/>
                <w:i w:val="false"/>
                <w:color w:val="000000"/>
                <w:sz w:val="20"/>
              </w:rPr>
              <w:t xml:space="preserve">                                                             </w:t>
            </w:r>
            <w:r>
              <w:rPr>
                <w:rFonts w:ascii="Times New Roman"/>
                <w:b/>
                <w:i w:val="false"/>
                <w:color w:val="000000"/>
                <w:sz w:val="20"/>
              </w:rPr>
              <w:t>      (</w:t>
            </w:r>
            <w:r>
              <w:rPr>
                <w:rFonts w:ascii="Times New Roman"/>
                <w:b/>
                <w:i w:val="false"/>
                <w:color w:val="000000"/>
                <w:sz w:val="20"/>
              </w:rPr>
              <w:t>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952"/>
              <w:gridCol w:w="180"/>
              <w:gridCol w:w="508"/>
              <w:gridCol w:w="15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(сумма строк 1.11.5.), в том числе;</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10 (десяти) процентов от суммы активов по балансу управляющего инвестиционным портфелем)</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указанные в подпункте 2) пункта 5 Правил</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управляющего инвестиционным портфелем</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которые имеют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одного из других рейтинговых агентств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предоставляющих банковские услуги организациям для осуществления операций на организованном рынке ценных бумаг</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соответствии одному из следующих условий: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условии, что данные банки - эмитенты включены в сектор "акции" официального списка фондовой биржи.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одного из других рейтинговых агентств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не являющихся по отношению к управляющему инвестиционным портфелем аффилиированными лицами,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являющихся аффилиированными лицами по отношению к управляющему инвестиционным портфелем, включенные в официальный список фондовой биржи, соответствующие требованиям секторов "акции" соответствующих площадок официального списка фондовой биржи,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по отношению к управляющему инвестиционным портфелем аффилиированными лицами,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по отношению к управляющему инвестиционным портфелем аффилиированными лицами,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имеющие рейтинговую оценку ниже уровня, указанного строках 9 и 10 настоящего приложения, а также не имеющие рейтинговую оценку,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не являющихся аффилиированными лицами по отношению к управляющему инвестиционным портфелем, выпущенные в соответствии с законодательством Республики Казахстан и других государств, включенные в официальный список фондовой биржи, соответствующие требованиям подпункта 10) пункта 5 Правил,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рейтинговую оценку одного их других рейтинговых агентств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юридических лиц, включенные в сектор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аффилированными лицами по отношению к управляющему инвестиционным портфелем, за вычетом дебиторской задолженности работников и других лиц, не просроченная по условиям договора, в сумме, не превышающей десяти процентов от суммы активов по балансу управляющего инвестиционным портфелем</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 (сумма строк 1-23) - ЛA</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 (МРСК)</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"Норматив достаточности собственного капитала" ((строка 24-строка 25)/строка 26) не менее 1</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Таблица 2. Дополнительные сведения для расчета пруденциального норматива</w:t>
            </w:r>
          </w:p>
          <w:p>
            <w:pPr>
              <w:spacing w:after="20"/>
              <w:ind w:left="20"/>
              <w:jc w:val="both"/>
            </w:pPr>
            <w:r>
              <w:rPr>
                <w:rFonts w:ascii="Times New Roman"/>
                <w:b w:val="false"/>
                <w:i w:val="false"/>
                <w:color w:val="000000"/>
                <w:sz w:val="20"/>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18"/>
              <w:gridCol w:w="24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признака</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по отношению к управляющему инвестиционным портфелем аффилиированными лицами, за вычетом дебиторской задолженности работников и других лиц, не просроченная по условиям договора, в сумме, не превышающей 10 (десяти) процентов от суммы активов по балансу управляющего инвестиционным портфелем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соответствии одному из следующих условий: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условии, что данные банки являются банками-эмитентами, включенными в сектор "акции" площадки "Основная" официального списка фондовой биржи, или банками-эмитентами, акции которых находятся в представительском списке индекса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управляющего инвестиционным портфелем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которые имеют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10 (десяти) процентов от суммы активов по балансу брокера и дилера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не являющихся по отношению к управляющему инвестиционным портфелем аффилированными лицами,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являющихся аффилиированными лицами по отношению к управляющему инвестиционным портфелем,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признаке 8020 настоящего приложения, имеющие рейтинг не ниже "В-"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по отношению к управляющему инвестиционным портфелем аффилиированными лицами,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по отношению к управляющему инвестиционным портфелем аффилированными лицами,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имеющие рейтинговую оценку ниже уровня, указанного в признаках 8022 и 8023 настоящего приложения, а также не имеющие рейтинговую оценку, включенные в сектора "долговые ценные бумаги" официального списка фондовой биржи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не являющихся аффилиированными лицами по отношению к управляющему инвестиционным портфелем, выпущенные в соответствии с законодательством Республики Казахстан и других государств, включенные в официальный список фондовой биржи, соответствующие требованиям подпункта 10) пункта 5 Правил,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рейтинговую оценку одного их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юридических лиц, включенные в сектор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признаке 8021 настоящего приложения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ценные бумаги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Первый руководитель или лицо, уполномоченное на подписание отчета</w:t>
            </w:r>
            <w:r>
              <w:br/>
            </w:r>
            <w:r>
              <w:rPr>
                <w:rFonts w:ascii="Times New Roman"/>
                <w:b w:val="false"/>
                <w:i w:val="false"/>
                <w:color w:val="000000"/>
                <w:sz w:val="20"/>
              </w:rPr>
              <w:t xml:space="preserve"> </w:t>
            </w:r>
            <w:r>
              <w:rPr>
                <w:rFonts w:ascii="Times New Roman"/>
                <w:b/>
                <w:i w:val="false"/>
                <w:color w:val="000000"/>
                <w:sz w:val="20"/>
              </w:rPr>
              <w:t>      __________________________________________ __________________</w:t>
            </w:r>
            <w:r>
              <w:br/>
            </w:r>
            <w:r>
              <w:rPr>
                <w:rFonts w:ascii="Times New Roman"/>
                <w:b w:val="false"/>
                <w:i w:val="false"/>
                <w:color w:val="000000"/>
                <w:sz w:val="20"/>
              </w:rPr>
              <w:t xml:space="preserve"> </w:t>
            </w:r>
            <w:r>
              <w:rPr>
                <w:rFonts w:ascii="Times New Roman"/>
                <w:b/>
                <w:i w:val="false"/>
                <w:color w:val="000000"/>
                <w:sz w:val="20"/>
              </w:rPr>
              <w:t xml:space="preserve">      (фамилия, имя, отчество (при его наличии) </w:t>
            </w:r>
            <w:r>
              <w:rPr>
                <w:rFonts w:ascii="Times New Roman"/>
                <w:b w:val="false"/>
                <w:i w:val="false"/>
                <w:color w:val="000000"/>
                <w:sz w:val="20"/>
              </w:rPr>
              <w:t xml:space="preserve">      </w:t>
            </w:r>
            <w:r>
              <w:rPr>
                <w:rFonts w:ascii="Times New Roman"/>
                <w:b/>
                <w:i w:val="false"/>
                <w:color w:val="000000"/>
                <w:sz w:val="20"/>
              </w:rPr>
              <w:t>      (подпись)</w:t>
            </w:r>
            <w:r>
              <w:br/>
            </w:r>
            <w:r>
              <w:rPr>
                <w:rFonts w:ascii="Times New Roman"/>
                <w:b w:val="false"/>
                <w:i w:val="false"/>
                <w:color w:val="000000"/>
                <w:sz w:val="20"/>
              </w:rPr>
              <w:t xml:space="preserve"> </w:t>
            </w:r>
            <w:r>
              <w:rPr>
                <w:rFonts w:ascii="Times New Roman"/>
                <w:b/>
                <w:i w:val="false"/>
                <w:color w:val="000000"/>
                <w:sz w:val="20"/>
              </w:rPr>
              <w:t>      Главный бухгалтер ____________________________________ _________________</w:t>
            </w:r>
            <w:r>
              <w:br/>
            </w:r>
            <w:r>
              <w:rPr>
                <w:rFonts w:ascii="Times New Roman"/>
                <w:b w:val="false"/>
                <w:i w:val="false"/>
                <w:color w:val="000000"/>
                <w:sz w:val="20"/>
              </w:rPr>
              <w:t xml:space="preserve">             </w:t>
            </w:r>
            <w:r>
              <w:rPr>
                <w:rFonts w:ascii="Times New Roman"/>
                <w:b/>
                <w:i w:val="false"/>
                <w:color w:val="000000"/>
                <w:sz w:val="20"/>
              </w:rPr>
              <w:t xml:space="preserve">      (фамилия, имя, отчество (при его наличии) </w:t>
            </w:r>
            <w:r>
              <w:rPr>
                <w:rFonts w:ascii="Times New Roman"/>
                <w:b w:val="false"/>
                <w:i w:val="false"/>
                <w:color w:val="000000"/>
                <w:sz w:val="20"/>
              </w:rPr>
              <w:t xml:space="preserve">      </w:t>
            </w:r>
            <w:r>
              <w:rPr>
                <w:rFonts w:ascii="Times New Roman"/>
                <w:b/>
                <w:i w:val="false"/>
                <w:color w:val="000000"/>
                <w:sz w:val="20"/>
              </w:rPr>
              <w:t>      (подпись)</w:t>
            </w:r>
            <w:r>
              <w:br/>
            </w:r>
            <w:r>
              <w:rPr>
                <w:rFonts w:ascii="Times New Roman"/>
                <w:b w:val="false"/>
                <w:i w:val="false"/>
                <w:color w:val="000000"/>
                <w:sz w:val="20"/>
              </w:rPr>
              <w:t xml:space="preserve"> </w:t>
            </w:r>
            <w:r>
              <w:rPr>
                <w:rFonts w:ascii="Times New Roman"/>
                <w:b/>
                <w:i w:val="false"/>
                <w:color w:val="000000"/>
                <w:sz w:val="20"/>
              </w:rPr>
              <w:t>      Исполнитель: _______________________________ ___________ _____________</w:t>
            </w:r>
            <w:r>
              <w:br/>
            </w:r>
            <w:r>
              <w:rPr>
                <w:rFonts w:ascii="Times New Roman"/>
                <w:b w:val="false"/>
                <w:i w:val="false"/>
                <w:color w:val="000000"/>
                <w:sz w:val="20"/>
              </w:rPr>
              <w:t xml:space="preserve"> </w:t>
            </w:r>
            <w:r>
              <w:rPr>
                <w:rFonts w:ascii="Times New Roman"/>
                <w:b/>
                <w:i w:val="false"/>
                <w:color w:val="000000"/>
                <w:sz w:val="20"/>
              </w:rPr>
              <w:t>      (должность, фамилия, имя, отчество (при его наличии) (подпись) (номер телефона)</w:t>
            </w:r>
            <w:r>
              <w:br/>
            </w:r>
            <w:r>
              <w:rPr>
                <w:rFonts w:ascii="Times New Roman"/>
                <w:b w:val="false"/>
                <w:i w:val="false"/>
                <w:color w:val="000000"/>
                <w:sz w:val="20"/>
              </w:rPr>
              <w:t xml:space="preserve"> </w:t>
            </w:r>
            <w:r>
              <w:rPr>
                <w:rFonts w:ascii="Times New Roman"/>
                <w:b/>
                <w:i w:val="false"/>
                <w:color w:val="000000"/>
                <w:sz w:val="20"/>
              </w:rPr>
              <w:t>      Дата подписания отчета "_____" ___________________ 20___ года</w:t>
            </w:r>
            <w:r>
              <w:br/>
            </w:r>
            <w:r>
              <w:rPr>
                <w:rFonts w:ascii="Times New Roman"/>
                <w:b w:val="false"/>
                <w:i w:val="false"/>
                <w:color w:val="000000"/>
                <w:sz w:val="20"/>
              </w:rPr>
              <w:t xml:space="preserve"> </w:t>
            </w:r>
            <w:r>
              <w:rPr>
                <w:rFonts w:ascii="Times New Roman"/>
                <w:b/>
                <w:i w:val="false"/>
                <w:color w:val="000000"/>
                <w:sz w:val="20"/>
              </w:rPr>
              <w:t>      Место для печати (при наличии)</w:t>
            </w:r>
            <w:r>
              <w:br/>
            </w:r>
            <w:r>
              <w:rPr>
                <w:rFonts w:ascii="Times New Roman"/>
                <w:b w:val="false"/>
                <w:i w:val="false"/>
                <w:color w:val="000000"/>
                <w:sz w:val="20"/>
              </w:rPr>
              <w:t xml:space="preserve"> </w:t>
            </w:r>
            <w:r>
              <w:rPr>
                <w:rFonts w:ascii="Times New Roman"/>
                <w:b/>
                <w:i w:val="false"/>
                <w:color w:val="000000"/>
                <w:sz w:val="20"/>
              </w:rPr>
              <w:t>      Пояснение по заполнению формы, предназначенной для сбора административных</w:t>
            </w:r>
            <w:r>
              <w:br/>
            </w:r>
            <w:r>
              <w:rPr>
                <w:rFonts w:ascii="Times New Roman"/>
                <w:b/>
                <w:i w:val="false"/>
                <w:color w:val="000000"/>
                <w:sz w:val="20"/>
              </w:rPr>
              <w:t>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w:t>
                  </w:r>
                  <w:r>
                    <w:br/>
                  </w:r>
                  <w:r>
                    <w:rPr>
                      <w:rFonts w:ascii="Times New Roman"/>
                      <w:b/>
                      <w:i w:val="false"/>
                      <w:color w:val="000000"/>
                      <w:sz w:val="20"/>
                    </w:rPr>
                    <w:t>к форме р</w:t>
                  </w:r>
                  <w:r>
                    <w:rPr>
                      <w:rFonts w:ascii="Times New Roman"/>
                      <w:b/>
                      <w:i w:val="false"/>
                      <w:color w:val="000000"/>
                      <w:sz w:val="20"/>
                    </w:rPr>
                    <w:t>асчета</w:t>
                  </w:r>
                  <w:r>
                    <w:br/>
                  </w:r>
                  <w:r>
                    <w:rPr>
                      <w:rFonts w:ascii="Times New Roman"/>
                      <w:b/>
                      <w:i w:val="false"/>
                      <w:color w:val="000000"/>
                      <w:sz w:val="20"/>
                    </w:rPr>
                    <w:t>пруденциального</w:t>
                  </w:r>
                  <w:r>
                    <w:rPr>
                      <w:rFonts w:ascii="Times New Roman"/>
                      <w:b/>
                      <w:i w:val="false"/>
                      <w:color w:val="000000"/>
                      <w:sz w:val="20"/>
                    </w:rPr>
                    <w:t xml:space="preserve"> норматива</w:t>
                  </w:r>
                </w:p>
              </w:tc>
            </w:tr>
          </w:tbl>
          <w:p/>
          <w:p>
            <w:pPr>
              <w:spacing w:after="0"/>
              <w:ind w:left="0"/>
              <w:jc w:val="both"/>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Расчет пруденциального норматива Глава 1. Общие положения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Настоящее пояснение (далее - Пояснение) определяет единые требования по заполнению формы "Расчет </w:t>
            </w:r>
            <w:r>
              <w:rPr>
                <w:rFonts w:ascii="Times New Roman"/>
                <w:b/>
                <w:i w:val="false"/>
                <w:color w:val="000000"/>
                <w:sz w:val="20"/>
              </w:rPr>
              <w:t>пруденциального</w:t>
            </w:r>
            <w:r>
              <w:rPr>
                <w:rFonts w:ascii="Times New Roman"/>
                <w:b/>
                <w:i w:val="false"/>
                <w:color w:val="000000"/>
                <w:sz w:val="20"/>
              </w:rPr>
              <w:t xml:space="preserve"> норматива" (далее - Форма).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Форма разработана в соответствии с подпунктом 6) </w:t>
            </w:r>
            <w:r>
              <w:rPr>
                <w:rFonts w:ascii="Times New Roman"/>
                <w:b w:val="false"/>
                <w:i w:val="false"/>
                <w:color w:val="000000"/>
                <w:sz w:val="20"/>
              </w:rPr>
              <w:t>пункта 1</w:t>
            </w:r>
            <w:r>
              <w:rPr>
                <w:rFonts w:ascii="Times New Roman"/>
                <w:b/>
                <w:i w:val="false"/>
                <w:color w:val="000000"/>
                <w:sz w:val="20"/>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20"/>
              <w:ind w:left="20"/>
              <w:jc w:val="both"/>
            </w:pPr>
            <w:r>
              <w:rPr>
                <w:rFonts w:ascii="Times New Roman"/>
                <w:b w:val="false"/>
                <w:i w:val="false"/>
                <w:color w:val="000000"/>
                <w:sz w:val="20"/>
              </w:rPr>
              <w:t>
</w:t>
            </w:r>
            <w:r>
              <w:rPr>
                <w:rFonts w:ascii="Times New Roman"/>
                <w:b/>
                <w:i w:val="false"/>
                <w:color w:val="000000"/>
                <w:sz w:val="20"/>
              </w:rPr>
              <w:t>3. Форма заполняется ежемесячно на конец отчетного периода организацией, осуществляющей управление инвестиционным портфелем.</w:t>
            </w:r>
          </w:p>
          <w:p>
            <w:pPr>
              <w:spacing w:after="20"/>
              <w:ind w:left="20"/>
              <w:jc w:val="both"/>
            </w:pPr>
            <w:r>
              <w:rPr>
                <w:rFonts w:ascii="Times New Roman"/>
                <w:b w:val="false"/>
                <w:i w:val="false"/>
                <w:color w:val="000000"/>
                <w:sz w:val="20"/>
              </w:rPr>
              <w:t>
</w:t>
            </w:r>
            <w:r>
              <w:rPr>
                <w:rFonts w:ascii="Times New Roman"/>
                <w:b/>
                <w:i w:val="false"/>
                <w:color w:val="000000"/>
                <w:sz w:val="20"/>
              </w:rPr>
              <w:t>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20"/>
              <w:ind w:left="20"/>
              <w:jc w:val="both"/>
            </w:pPr>
            <w:r>
              <w:rPr>
                <w:rFonts w:ascii="Times New Roman"/>
                <w:b w:val="false"/>
                <w:i w:val="false"/>
                <w:color w:val="000000"/>
                <w:sz w:val="20"/>
              </w:rPr>
              <w:t>
</w:t>
            </w:r>
            <w:r>
              <w:rPr>
                <w:rFonts w:ascii="Times New Roman"/>
                <w:b/>
                <w:i w:val="false"/>
                <w:color w:val="000000"/>
                <w:sz w:val="20"/>
              </w:rPr>
              <w:t>5. Форму подписывает первый руководитель или лицо, уполномоченное на подписание отчета, главный бухгалтер и исполнитель.</w:t>
            </w:r>
          </w:p>
          <w:p>
            <w:pPr>
              <w:spacing w:after="0"/>
              <w:ind w:left="0"/>
              <w:jc w:val="both"/>
            </w:pPr>
            <w:r>
              <w:rPr>
                <w:rFonts w:ascii="Times New Roman"/>
                <w:b/>
                <w:i w:val="false"/>
                <w:color w:val="000000"/>
              </w:rPr>
              <w:t xml:space="preserve"> Глава 2. Пояснение по заполнению расчета норматива достаточности собственного</w:t>
            </w:r>
            <w:r>
              <w:br/>
            </w:r>
            <w:r>
              <w:rPr>
                <w:rFonts w:ascii="Times New Roman"/>
                <w:b/>
                <w:i w:val="false"/>
                <w:color w:val="000000"/>
              </w:rPr>
              <w:t>капитала</w:t>
            </w:r>
          </w:p>
          <w:p>
            <w:pPr>
              <w:spacing w:after="20"/>
              <w:ind w:left="20"/>
              <w:jc w:val="both"/>
            </w:pPr>
            <w:r>
              <w:rPr>
                <w:rFonts w:ascii="Times New Roman"/>
                <w:b w:val="false"/>
                <w:i w:val="false"/>
                <w:color w:val="000000"/>
                <w:sz w:val="20"/>
              </w:rPr>
              <w:t>
</w:t>
            </w:r>
            <w:r>
              <w:rPr>
                <w:rFonts w:ascii="Times New Roman"/>
                <w:b/>
                <w:i w:val="false"/>
                <w:color w:val="000000"/>
                <w:sz w:val="20"/>
              </w:rPr>
              <w:t>6. В столбце 3 Расчета норматива достаточности собственного капитала Таблицы 1 указываются данные на конец последнего календарного дня отчетного периода.</w:t>
            </w:r>
          </w:p>
          <w:p>
            <w:pPr>
              <w:spacing w:after="20"/>
              <w:ind w:left="20"/>
              <w:jc w:val="both"/>
            </w:pPr>
            <w:r>
              <w:rPr>
                <w:rFonts w:ascii="Times New Roman"/>
                <w:b w:val="false"/>
                <w:i w:val="false"/>
                <w:color w:val="000000"/>
                <w:sz w:val="20"/>
              </w:rPr>
              <w:t>
</w:t>
            </w:r>
            <w:r>
              <w:rPr>
                <w:rFonts w:ascii="Times New Roman"/>
                <w:b/>
                <w:i w:val="false"/>
                <w:color w:val="000000"/>
                <w:sz w:val="20"/>
              </w:rPr>
              <w:t>7. В столбце 5 Расчета норматива достаточности собственного капитала Таблицы 1 указывается сумма к расчету на конец последнего календарного дня отчетного периода, рассчитанная как произведение данных, указанных в столбцах 3 и 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В строке 30 указывается коэффициент достаточности собственного капитала, </w:t>
            </w:r>
            <w:r>
              <w:rPr>
                <w:rFonts w:ascii="Times New Roman"/>
                <w:b/>
                <w:i w:val="false"/>
                <w:color w:val="000000"/>
                <w:sz w:val="20"/>
              </w:rPr>
              <w:t>рассчитанный как отношение разницы ликвидных активов и обязательств по балансу к минимальному размеру собственного капитала.</w:t>
            </w:r>
          </w:p>
          <w:p>
            <w:pPr>
              <w:spacing w:after="0"/>
              <w:ind w:left="0"/>
              <w:jc w:val="both"/>
            </w:pPr>
            <w:r>
              <w:rPr>
                <w:rFonts w:ascii="Times New Roman"/>
                <w:b/>
                <w:i w:val="false"/>
                <w:color w:val="000000"/>
              </w:rPr>
              <w:t xml:space="preserve"> Глава 3. Пояснение по заполнению дополнительных сведений для расчета</w:t>
            </w:r>
            <w:r>
              <w:br/>
            </w:r>
            <w:r>
              <w:rPr>
                <w:rFonts w:ascii="Times New Roman"/>
                <w:b/>
                <w:i w:val="false"/>
                <w:color w:val="000000"/>
              </w:rPr>
              <w:t>пруденциального норматива</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9. В столбце 3 Дополнительных сведений для расчета </w:t>
            </w:r>
            <w:r>
              <w:rPr>
                <w:rFonts w:ascii="Times New Roman"/>
                <w:b/>
                <w:i w:val="false"/>
                <w:color w:val="000000"/>
                <w:sz w:val="20"/>
              </w:rPr>
              <w:t>пруденциального</w:t>
            </w:r>
            <w:r>
              <w:rPr>
                <w:rFonts w:ascii="Times New Roman"/>
                <w:b/>
                <w:i w:val="false"/>
                <w:color w:val="000000"/>
                <w:sz w:val="20"/>
              </w:rPr>
              <w:t xml:space="preserve"> норматива Таблицы 2 указываются данные на конец последнего календарного дня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 февраля 2014 года № 7 </w:t>
            </w:r>
          </w:p>
        </w:tc>
      </w:tr>
    </w:tbl>
    <w:bookmarkStart w:name="z55" w:id="1"/>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по вопросам</w:t>
      </w:r>
      <w:r>
        <w:br/>
      </w:r>
      <w:r>
        <w:rPr>
          <w:rFonts w:ascii="Times New Roman"/>
          <w:b/>
          <w:i w:val="false"/>
          <w:color w:val="000000"/>
        </w:rPr>
        <w:t>деятельности на рынке ценных бумаг,</w:t>
      </w:r>
      <w:r>
        <w:br/>
      </w:r>
      <w:r>
        <w:rPr>
          <w:rFonts w:ascii="Times New Roman"/>
          <w:b/>
          <w:i w:val="false"/>
          <w:color w:val="000000"/>
        </w:rPr>
        <w:t>в которые вносятся изменения и дополнения</w:t>
      </w:r>
    </w:p>
    <w:bookmarkEnd w:id="1"/>
    <w:bookmarkStart w:name="z56"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организаторов торгов с ценными бумагами и иными финансовыми инструментами" (зарегистрированное в Реестре государственной регистрации нормативных правовых актов под № 5406, опубликованное 14 января 2009 года в газете "Юридическая газета" № 5 (1602) следующие изменения:</w:t>
      </w:r>
    </w:p>
    <w:bookmarkEnd w:id="2"/>
    <w:bookmarkStart w:name="z5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организатора торгов с ценными бумагами и иными финансовыми инструментами,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"18) уполномоченный орган – Национальный Банк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 Операции "репо", осуществляемые в торговой системе фондовой биржи "автоматическим" способом, совершаются по:</w:t>
      </w:r>
    </w:p>
    <w:p>
      <w:pPr>
        <w:spacing w:after="0"/>
        <w:ind w:left="0"/>
        <w:jc w:val="both"/>
      </w:pPr>
      <w:r>
        <w:rPr>
          <w:rFonts w:ascii="Times New Roman"/>
          <w:b w:val="false"/>
          <w:i w:val="false"/>
          <w:color w:val="000000"/>
          <w:sz w:val="28"/>
        </w:rPr>
        <w:t>
      1) государственным эмиссионным ценным бумагам Республики Казахстан, включая облигации местных исполнительных органов Республики Казахстан;</w:t>
      </w:r>
    </w:p>
    <w:p>
      <w:pPr>
        <w:spacing w:after="0"/>
        <w:ind w:left="0"/>
        <w:jc w:val="both"/>
      </w:pPr>
      <w:r>
        <w:rPr>
          <w:rFonts w:ascii="Times New Roman"/>
          <w:b w:val="false"/>
          <w:i w:val="false"/>
          <w:color w:val="000000"/>
          <w:sz w:val="28"/>
        </w:rPr>
        <w:t>
      2) акциям, включенным в первую (наивысшую) категорию сектора "акции" официального списка фондовой биржи;</w:t>
      </w:r>
    </w:p>
    <w:p>
      <w:pPr>
        <w:spacing w:after="0"/>
        <w:ind w:left="0"/>
        <w:jc w:val="both"/>
      </w:pPr>
      <w:r>
        <w:rPr>
          <w:rFonts w:ascii="Times New Roman"/>
          <w:b w:val="false"/>
          <w:i w:val="false"/>
          <w:color w:val="000000"/>
          <w:sz w:val="28"/>
        </w:rPr>
        <w:t>
      3) долговым ценным бумагам, имеющим минимальную рейтинговую оценку не ниже "В-" по международной шкале агентства Standard &amp; Poor's или рейтинг аналогичного уровня одного из других рейтинговых агентств, или минимальную рейтинговую оценку не ниже "kzВ-" по национальной шкале Standard &amp; Poor's или Fitch или не ниже kzВ3 по национальной шкале Moody's Investors Service;</w:t>
      </w:r>
    </w:p>
    <w:p>
      <w:pPr>
        <w:spacing w:after="0"/>
        <w:ind w:left="0"/>
        <w:jc w:val="both"/>
      </w:pPr>
      <w:r>
        <w:rPr>
          <w:rFonts w:ascii="Times New Roman"/>
          <w:b w:val="false"/>
          <w:i w:val="false"/>
          <w:color w:val="000000"/>
          <w:sz w:val="28"/>
        </w:rPr>
        <w:t>
      4) долговым ценным бумагам, включенным в категорию "долговые ценные бумаги без рейтинговой оценки первой подкатегории" официального списка фондовой биржи;</w:t>
      </w:r>
    </w:p>
    <w:p>
      <w:pPr>
        <w:spacing w:after="0"/>
        <w:ind w:left="0"/>
        <w:jc w:val="both"/>
      </w:pPr>
      <w:r>
        <w:rPr>
          <w:rFonts w:ascii="Times New Roman"/>
          <w:b w:val="false"/>
          <w:i w:val="false"/>
          <w:color w:val="000000"/>
          <w:sz w:val="28"/>
        </w:rPr>
        <w:t>
      5) акциям, находящимся в представительском списке индекса фондовой биржи.</w:t>
      </w:r>
    </w:p>
    <w:p>
      <w:pPr>
        <w:spacing w:after="0"/>
        <w:ind w:left="0"/>
        <w:jc w:val="both"/>
      </w:pPr>
      <w:r>
        <w:rPr>
          <w:rFonts w:ascii="Times New Roman"/>
          <w:b w:val="false"/>
          <w:i w:val="false"/>
          <w:color w:val="000000"/>
          <w:sz w:val="28"/>
        </w:rPr>
        <w:t>
      Перечень ценных бумаг, которые являются предметом операций "репо", осуществляемых в торговой системе фондовой биржи "прямым" способом, устанавливается внутренними документами фондовой биржи.".</w:t>
      </w:r>
    </w:p>
    <w:bookmarkStart w:name="z60"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постановлением Правления Национального Банка РК от 19.12.2015 </w:t>
      </w:r>
      <w:r>
        <w:rPr>
          <w:rFonts w:ascii="Times New Roman"/>
          <w:b w:val="false"/>
          <w:i w:val="false"/>
          <w:color w:val="000000"/>
          <w:sz w:val="28"/>
        </w:rPr>
        <w:t>№ 249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Национального Банка РК от 16.08.2019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165 "Об утверждении Инструкции к программно-техническим средствам и иному оборудованию, необходимым для осуществления деятельности на рынке ценных бумаг" (зарегистрированное в Реестре государственной регистрации нормативных правовых актов под № 7734, опубликованное 29 августа 2012 года в газете "Казахстанская правда" № 290-291 (27109-27110) следующие изменения:</w:t>
      </w:r>
    </w:p>
    <w:bookmarkEnd w:id="5"/>
    <w:bookmarkStart w:name="z10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к программно-техническим средствам и иному оборудованию, необходимым для осуществления деятельности на рынке ценных бумаг, утвержденной указанным постановлением: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"Настоящая Инструкция к программно-техническим средствам и иному оборудованию, необходимым для осуществления деятельности на рынке ценных бумаг (далее - Инструкция), определяет требования к программно-техническим средствам и иному оборудованию, необходимым для осуществления деятельности на рынке ценных бумаг (далее - программное обеспечение), и организации безопасной работы, обеспечивающей сохранность и защиту информации от несанкционированного доступа к данным, хранящимся у профессиональных участников рынка ценных бумаг.</w:t>
      </w:r>
    </w:p>
    <w:p>
      <w:pPr>
        <w:spacing w:after="0"/>
        <w:ind w:left="0"/>
        <w:jc w:val="both"/>
      </w:pPr>
      <w:r>
        <w:rPr>
          <w:rFonts w:ascii="Times New Roman"/>
          <w:b w:val="false"/>
          <w:i w:val="false"/>
          <w:color w:val="000000"/>
          <w:sz w:val="28"/>
        </w:rPr>
        <w:t>
      Действие Инструкции не распространяется на отношения, возникающие при использовании информационных ресурсов Национального Банка Республики Казахстан на основании соответствующего соглашения, заключенного между профессиональным участником рынка ценных бумаг и Национальным Банком Республики Казахстан.";</w:t>
      </w:r>
    </w:p>
    <w:bookmarkStart w:name="z67" w:id="7"/>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2 изложить в следующей редакции:</w:t>
      </w:r>
    </w:p>
    <w:bookmarkEnd w:id="7"/>
    <w:p>
      <w:pPr>
        <w:spacing w:after="0"/>
        <w:ind w:left="0"/>
        <w:jc w:val="both"/>
      </w:pPr>
      <w:r>
        <w:rPr>
          <w:rFonts w:ascii="Times New Roman"/>
          <w:b w:val="false"/>
          <w:i w:val="false"/>
          <w:color w:val="000000"/>
          <w:sz w:val="28"/>
        </w:rPr>
        <w:t>
      "составление и выдачу выписок с лицевого счета (субсчета) на определенную дату и время, отчетов о проведенных операциях, отчетов, уведомлений и справок по запросам держателей ценных бумаг, центрального депозитария, эмитентов и уполномоченного органа;".</w:t>
      </w:r>
    </w:p>
    <w:bookmarkStart w:name="z68"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Утратил силу постановлением Правления Национального Банка РК от 28.01.2016 </w:t>
      </w:r>
      <w:r>
        <w:rPr>
          <w:rFonts w:ascii="Times New Roman"/>
          <w:b w:val="false"/>
          <w:i w:val="false"/>
          <w:color w:val="000000"/>
          <w:sz w:val="28"/>
        </w:rPr>
        <w:t>№ 41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73" w:id="9"/>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(зарегистрированное в Реестре государственной регистрации нормативных правовых актов под № 8796, опубликованное 5 декабря 2013 года в газете "Юридическая газета" № 183 (2558) следующие изменения и дополнение:</w:t>
      </w:r>
    </w:p>
    <w:bookmarkEnd w:id="9"/>
    <w:bookmarkStart w:name="z10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"Настоящие Правила формирования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о рынке ценных бумаг) и устанавливают порядок формирования системы управления рисками и внутреннего контроля для организаций, обладающих лицензией на осуществление брокерской и дилерской деятельности (далее - брокер и (или) дилер), деятельности по управлению инвестиционным портфелем (далее - Управляющий).</w:t>
      </w:r>
    </w:p>
    <w:p>
      <w:pPr>
        <w:spacing w:after="0"/>
        <w:ind w:left="0"/>
        <w:jc w:val="both"/>
      </w:pPr>
      <w:r>
        <w:rPr>
          <w:rFonts w:ascii="Times New Roman"/>
          <w:b w:val="false"/>
          <w:i w:val="false"/>
          <w:color w:val="000000"/>
          <w:sz w:val="28"/>
        </w:rPr>
        <w:t>
      Требования к программно-техническому обеспечению, используемому для поддержания системы управления рисками, а также к автоматизации деятельности Управляющего, предусмотренные Правилами, не распространяют свое действие на отношения, возникающие при использовании информационных ресурсов Национального Банка Республики Казахстан на основании соответствующего соглашения, заключенного между Управляющим и Национальным Банком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Целью Правил является определение требований к формированию у брокера и (или) дилера, Управляющего системы управления рисками.</w:t>
      </w:r>
    </w:p>
    <w:p>
      <w:pPr>
        <w:spacing w:after="0"/>
        <w:ind w:left="0"/>
        <w:jc w:val="both"/>
      </w:pPr>
      <w:r>
        <w:rPr>
          <w:rFonts w:ascii="Times New Roman"/>
          <w:b w:val="false"/>
          <w:i w:val="false"/>
          <w:color w:val="000000"/>
          <w:sz w:val="28"/>
        </w:rPr>
        <w:t xml:space="preserve">
      Требования подпункта 3) </w:t>
      </w:r>
      <w:r>
        <w:rPr>
          <w:rFonts w:ascii="Times New Roman"/>
          <w:b w:val="false"/>
          <w:i w:val="false"/>
          <w:color w:val="000000"/>
          <w:sz w:val="28"/>
        </w:rPr>
        <w:t>пункта 42</w:t>
      </w:r>
      <w:r>
        <w:rPr>
          <w:rFonts w:ascii="Times New Roman"/>
          <w:b w:val="false"/>
          <w:i w:val="false"/>
          <w:color w:val="000000"/>
          <w:sz w:val="28"/>
        </w:rPr>
        <w:t xml:space="preserve">, подпунктов 4), 5), 6), и 7) </w:t>
      </w:r>
      <w:r>
        <w:rPr>
          <w:rFonts w:ascii="Times New Roman"/>
          <w:b w:val="false"/>
          <w:i w:val="false"/>
          <w:color w:val="000000"/>
          <w:sz w:val="28"/>
        </w:rPr>
        <w:t>пункта 43</w:t>
      </w:r>
      <w:r>
        <w:rPr>
          <w:rFonts w:ascii="Times New Roman"/>
          <w:b w:val="false"/>
          <w:i w:val="false"/>
          <w:color w:val="000000"/>
          <w:sz w:val="28"/>
        </w:rPr>
        <w:t xml:space="preserve">, </w:t>
      </w:r>
      <w:r>
        <w:rPr>
          <w:rFonts w:ascii="Times New Roman"/>
          <w:b w:val="false"/>
          <w:i w:val="false"/>
          <w:color w:val="000000"/>
          <w:sz w:val="28"/>
        </w:rPr>
        <w:t>пунктов 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Правил не распространяются в отношении управления золотовалютными активами Национального Банка Республики Казахстан и активами Национального фонда Республики Казахстан, переданными в доверительное управление дочерней организации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Стресс-тестинг по ценовому риску, процентному риску, валютному риску и риску ликвидности по собственным активам Управляющего и брокера и (или) дилера, являющегося Управляющим, и активам клиентов, принятым в инвестиционное управление, рассчитывается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один раз в два месяца.</w:t>
      </w:r>
    </w:p>
    <w:p>
      <w:pPr>
        <w:spacing w:after="0"/>
        <w:ind w:left="0"/>
        <w:jc w:val="both"/>
      </w:pPr>
      <w:r>
        <w:rPr>
          <w:rFonts w:ascii="Times New Roman"/>
          <w:b w:val="false"/>
          <w:i w:val="false"/>
          <w:color w:val="000000"/>
          <w:sz w:val="28"/>
        </w:rPr>
        <w:t xml:space="preserve">
      Результаты стресс-тестинга, оформляются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не позднее пятого рабочего дня каждого четного месяца.</w:t>
      </w:r>
    </w:p>
    <w:p>
      <w:pPr>
        <w:spacing w:after="0"/>
        <w:ind w:left="0"/>
        <w:jc w:val="both"/>
      </w:pPr>
      <w:r>
        <w:rPr>
          <w:rFonts w:ascii="Times New Roman"/>
          <w:b w:val="false"/>
          <w:i w:val="false"/>
          <w:color w:val="000000"/>
          <w:sz w:val="28"/>
        </w:rPr>
        <w:t xml:space="preserve">
      9. Информация по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оформляется Управляющим и брокером и (или) дилером, являющимся Управляющим, не позднее пятого рабочего дня месяца, следующего за отчетным месяцем.";</w:t>
      </w:r>
    </w:p>
    <w:bookmarkStart w:name="z77" w:id="11"/>
    <w:p>
      <w:pPr>
        <w:spacing w:after="0"/>
        <w:ind w:left="0"/>
        <w:jc w:val="both"/>
      </w:pPr>
      <w:r>
        <w:rPr>
          <w:rFonts w:ascii="Times New Roman"/>
          <w:b w:val="false"/>
          <w:i w:val="false"/>
          <w:color w:val="000000"/>
          <w:sz w:val="28"/>
        </w:rPr>
        <w:t>
      дополнить пунктом 9-1 следующего содержания:</w:t>
      </w:r>
    </w:p>
    <w:bookmarkEnd w:id="11"/>
    <w:p>
      <w:pPr>
        <w:spacing w:after="0"/>
        <w:ind w:left="0"/>
        <w:jc w:val="both"/>
      </w:pPr>
      <w:r>
        <w:rPr>
          <w:rFonts w:ascii="Times New Roman"/>
          <w:b w:val="false"/>
          <w:i w:val="false"/>
          <w:color w:val="000000"/>
          <w:sz w:val="28"/>
        </w:rPr>
        <w:t xml:space="preserve">
      "9-1. Управляющий, брокер и (или) дилер, являющийся Управляющим, обеспечивают резервирование и хранение информации, изложенной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на бумажном носителе и электронном формате.";</w:t>
      </w:r>
    </w:p>
    <w:bookmarkStart w:name="z76" w:id="12"/>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"9) подготовке отчетности о результатах деятельности по управлению инвестиционным портфелем клиентов перед Национальным Банком Республики Казахстан, соответствующими органами, клиентами, активы которых приняты в управление;";</w:t>
      </w:r>
    </w:p>
    <w:bookmarkStart w:name="z78" w:id="13"/>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"6) подготовке отчетности о результатах деятельности по управлению собственными активами перед Национальным Банком Республики Казахстан, соответствующими органами Управляющего или брокера и (или) дилера, являющегося Управляющим.";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"93. Отчеты службы внутреннего аудита брокера и (или) дилера, Управляющего предоставляются Национальному Банку Республики Казахстан по его запросу.";</w:t>
      </w:r>
    </w:p>
    <w:bookmarkStart w:name="z109" w:id="14"/>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"5) от подразделения информационного обеспечения брокера и (или) дилера, Управляющего раз в квартал информацию о:</w:t>
      </w:r>
    </w:p>
    <w:p>
      <w:pPr>
        <w:spacing w:after="0"/>
        <w:ind w:left="0"/>
        <w:jc w:val="both"/>
      </w:pPr>
      <w:r>
        <w:rPr>
          <w:rFonts w:ascii="Times New Roman"/>
          <w:b w:val="false"/>
          <w:i w:val="false"/>
          <w:color w:val="000000"/>
          <w:sz w:val="28"/>
        </w:rPr>
        <w:t>
      состоянии аппаратно-программных технических комплексов;</w:t>
      </w:r>
    </w:p>
    <w:p>
      <w:pPr>
        <w:spacing w:after="0"/>
        <w:ind w:left="0"/>
        <w:jc w:val="both"/>
      </w:pPr>
      <w:r>
        <w:rPr>
          <w:rFonts w:ascii="Times New Roman"/>
          <w:b w:val="false"/>
          <w:i w:val="false"/>
          <w:color w:val="000000"/>
          <w:sz w:val="28"/>
        </w:rPr>
        <w:t>
      технических проблемах, обнаруженных в течение отчетного периода;</w:t>
      </w:r>
    </w:p>
    <w:p>
      <w:pPr>
        <w:spacing w:after="0"/>
        <w:ind w:left="0"/>
        <w:jc w:val="both"/>
      </w:pPr>
      <w:r>
        <w:rPr>
          <w:rFonts w:ascii="Times New Roman"/>
          <w:b w:val="false"/>
          <w:i w:val="false"/>
          <w:color w:val="000000"/>
          <w:sz w:val="28"/>
        </w:rPr>
        <w:t>
      выявленных несоответствиях внутренним процедурам брокера и (или) дилера, Управляющего;</w:t>
      </w:r>
    </w:p>
    <w:p>
      <w:pPr>
        <w:spacing w:after="0"/>
        <w:ind w:left="0"/>
        <w:jc w:val="both"/>
      </w:pPr>
      <w:r>
        <w:rPr>
          <w:rFonts w:ascii="Times New Roman"/>
          <w:b w:val="false"/>
          <w:i w:val="false"/>
          <w:color w:val="000000"/>
          <w:sz w:val="28"/>
        </w:rPr>
        <w:t>
      мерах, принятых для устранения и предотвращения повторного возникновения проблем и несоответствий;</w:t>
      </w:r>
    </w:p>
    <w:p>
      <w:pPr>
        <w:spacing w:after="0"/>
        <w:ind w:left="0"/>
        <w:jc w:val="both"/>
      </w:pPr>
      <w:r>
        <w:rPr>
          <w:rFonts w:ascii="Times New Roman"/>
          <w:b w:val="false"/>
          <w:i w:val="false"/>
          <w:color w:val="000000"/>
          <w:sz w:val="28"/>
        </w:rPr>
        <w:t>
      Информация, указанная в настоящем подпункте, не предоставляется при использовании информационных ресурсов Национального Банка Республики Казахстан на основании соответствующего соглашения, заключенного между Управляющим и Национальным Банком;".</w:t>
      </w:r>
    </w:p>
    <w:bookmarkStart w:name="z80" w:id="15"/>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230 "Об утверждении перечня, форм, сроков и Правил представления отчетности организациями, осуществляющими управление инвестиционным портфелем, брокерскую и (или) дилерскую деятельность" (зарегистрированное в Реестре государственной регистрации нормативных правовых актов под № 8857) следующее дополнение и изменение: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одиннадцатой следующего содержания:</w:t>
      </w:r>
    </w:p>
    <w:p>
      <w:pPr>
        <w:spacing w:after="0"/>
        <w:ind w:left="0"/>
        <w:jc w:val="both"/>
      </w:pPr>
      <w:r>
        <w:rPr>
          <w:rFonts w:ascii="Times New Roman"/>
          <w:b w:val="false"/>
          <w:i w:val="false"/>
          <w:color w:val="000000"/>
          <w:sz w:val="28"/>
        </w:rPr>
        <w:t xml:space="preserve">
      "Золотовалютные активы уполномоченного органа и активы Национального фонда Республики Казахстан, переданные в доверительное управление, не указываются управляющими инвестиционным портфелем при заполнении форм, установленных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постановлению.";</w:t>
      </w:r>
    </w:p>
    <w:bookmarkStart w:name="z8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организациями, осуществляющими управление инвестиционным портфелем, брокерскую и (или) дилерскую деятельность, утвержденных указанным постановлением: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В случае необходимости внесения изменений и (или) дополнений в отчетность, Организация представляет в уполномоченный орган доработанную отчетность и письменное объяснение с указанием причин необходимости внесения изменений и (или) дополнений в отчетность.".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w:t>
            </w:r>
            <w:r>
              <w:br/>
            </w:r>
            <w:r>
              <w:rPr>
                <w:rFonts w:ascii="Times New Roman"/>
                <w:b w:val="false"/>
                <w:i w:val="false"/>
                <w:color w:val="000000"/>
                <w:sz w:val="20"/>
              </w:rPr>
              <w:t>вопросам деятельности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 отчетности</w:t>
            </w:r>
            <w:r>
              <w:br/>
            </w:r>
            <w:r>
              <w:rPr>
                <w:rFonts w:ascii="Times New Roman"/>
                <w:b w:val="false"/>
                <w:i w:val="false"/>
                <w:color w:val="000000"/>
                <w:sz w:val="20"/>
              </w:rPr>
              <w:t>клиринговыми организациями</w:t>
            </w:r>
          </w:p>
        </w:tc>
      </w:tr>
    </w:tbl>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16.08.2019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w:t>
            </w:r>
            <w:r>
              <w:br/>
            </w:r>
            <w:r>
              <w:rPr>
                <w:rFonts w:ascii="Times New Roman"/>
                <w:b w:val="false"/>
                <w:i w:val="false"/>
                <w:color w:val="000000"/>
                <w:sz w:val="20"/>
              </w:rPr>
              <w:t>вопросам деятельности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2013 года № 130</w:t>
            </w:r>
          </w:p>
        </w:tc>
      </w:tr>
    </w:tbl>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28.01.2016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w:t>
            </w:r>
            <w:r>
              <w:br/>
            </w:r>
            <w:r>
              <w:rPr>
                <w:rFonts w:ascii="Times New Roman"/>
                <w:b w:val="false"/>
                <w:i w:val="false"/>
                <w:color w:val="000000"/>
                <w:sz w:val="20"/>
              </w:rPr>
              <w:t>вопросам деятельности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2013 года № 130</w:t>
            </w:r>
          </w:p>
        </w:tc>
      </w:tr>
    </w:tbl>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28.01.2016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w:t>
            </w:r>
            <w:r>
              <w:br/>
            </w:r>
            <w:r>
              <w:rPr>
                <w:rFonts w:ascii="Times New Roman"/>
                <w:b w:val="false"/>
                <w:i w:val="false"/>
                <w:color w:val="000000"/>
                <w:sz w:val="20"/>
              </w:rPr>
              <w:t>вопросам деятельности на рынке</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2013 года № 130</w:t>
            </w:r>
          </w:p>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Национального Банка РК от 28.01.2016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 февраля 2014 года № 7 </w:t>
            </w:r>
          </w:p>
        </w:tc>
      </w:tr>
    </w:tbl>
    <w:bookmarkStart w:name="z89" w:id="17"/>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признаваемых</w:t>
      </w:r>
      <w:r>
        <w:br/>
      </w:r>
      <w:r>
        <w:rPr>
          <w:rFonts w:ascii="Times New Roman"/>
          <w:b/>
          <w:i w:val="false"/>
          <w:color w:val="000000"/>
        </w:rPr>
        <w:t>утратившими силу</w:t>
      </w:r>
    </w:p>
    <w:bookmarkEnd w:id="17"/>
    <w:bookmarkStart w:name="z90"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122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(зарегистрированное в Реестре государственной регистрации нормативных правовых актов под № 5332, опубликованное 15 ноября 2008 года в Собрании актов центральных исполнительных и иных центральных государственных органов Республики Казахстан № 11).</w:t>
      </w:r>
    </w:p>
    <w:bookmarkEnd w:id="18"/>
    <w:bookmarkStart w:name="z91"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26 января 2009 года № 5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 осуществляющих брокерскую и дилерскую деятельность на рынке ценных бумаг, организаций, осуществляющих деятельность по ведению системы держателей ценных бумаг, организаций, осуществляющих управление инвестиционным портфелем" (зарегистрированного в Реестре государственной регистрации нормативных правовых актов под № 5578).</w:t>
      </w:r>
    </w:p>
    <w:bookmarkEnd w:id="19"/>
    <w:bookmarkStart w:name="z92"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5 августа 2009 года № 185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 осуществляющих брокерскую и дилерскую деятельность на рынке ценных бумаг, организаций, осуществляющих деятельность по ведению системы реестров держателей ценных бумаг, организаций, осуществляющих управление инвестиционным портфелем" (зарегистрированного в Реестре государственной регистрации нормативных правовых актов под № 5777).</w:t>
      </w:r>
    </w:p>
    <w:bookmarkEnd w:id="20"/>
    <w:bookmarkStart w:name="z93"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декабря 2009 года № 265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 осуществляющих брокерскую и дилерскую деятельность на рынке ценных бумаг, организаций, осуществляющих деятельность по ведению системы реестров держателей ценных бумаг, и организаций, осуществляющих управление инвестиционным портфелем" (зарегистрированного в Реестре государственной регистрации нормативных правовых актов под № 6039).</w:t>
      </w:r>
    </w:p>
    <w:bookmarkEnd w:id="21"/>
    <w:bookmarkStart w:name="z9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20</w:t>
      </w:r>
      <w:r>
        <w:rPr>
          <w:rFonts w:ascii="Times New Roman"/>
          <w:b w:val="false"/>
          <w:i w:val="false"/>
          <w:color w:val="000000"/>
          <w:sz w:val="28"/>
        </w:rPr>
        <w:t xml:space="preserve"> перечня к постановлению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(зарегистрированному в Реестре государственной регистрации нормативных правовых актов под № 6554).</w:t>
      </w:r>
    </w:p>
    <w:bookmarkEnd w:id="22"/>
    <w:bookmarkStart w:name="z95"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приложения к постановлению Правления Национального Банка Республики Казахстан от 30 января 2012 года № 20 "О внесении изменений и дополнений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под 7439, опубликованному 24 мая 2012 года в газете "Казахстанская правда" № 150-151 (26969-26970).</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