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7aba" w14:textId="8ef7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экономики и бюджетного планирования Республики Казахстан от 13 марта 2013 года № 73 "Об утверждении Правил составления и представления бюджетной заявки"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экономики и бюджетного планирования Республики Казахстан от 14 апреля 2014 года № 101. Зарегистрирован в Министерстве юстиции Республики Казахстан 14 мая 2014 года № 9421. Утратил силу приказом Министра финансов Республики Казахстан от 24 ноября 2014 года № 511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24.11.2014 </w:t>
      </w:r>
      <w:r>
        <w:rPr>
          <w:rFonts w:ascii="Times New Roman"/>
          <w:b w:val="false"/>
          <w:i w:val="false"/>
          <w:color w:val="ff0000"/>
          <w:sz w:val="28"/>
        </w:rPr>
        <w:t>№ 511</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13 марта 2013 года № 73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8399, опубликован 17 июля 2013 года в газете «Казахстанская правда» № 234)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«60. Администратор местных бюджетных программ вносит бюджетную заявку на бумажном носителе в одном экземпляре с пронумерованными страницами,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 либо на электронных носителях.»;</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(далее – база данных цен), в качестве ориентира при расчетах по видам расходов по каждой бюджетной программе. Центральный уполномоченный орган по государственному планированию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документы обосновывающие планируемые расходы (копии договоров, прайс-листы);»;</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66-1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показателям программы развития территорий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расчетах по видам расходов по каждой бюджетной программе. Местный уполномоченный орган по государственному планированию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документы обосновывающие планируемые расходы (копии договоров, прайс-листы);».</w:t>
      </w:r>
      <w:r>
        <w:br/>
      </w:r>
      <w:r>
        <w:rPr>
          <w:rFonts w:ascii="Times New Roman"/>
          <w:b w:val="false"/>
          <w:i w:val="false"/>
          <w:color w:val="000000"/>
          <w:sz w:val="28"/>
        </w:rPr>
        <w:t>
</w:t>
      </w:r>
      <w:r>
        <w:rPr>
          <w:rFonts w:ascii="Times New Roman"/>
          <w:b w:val="false"/>
          <w:i w:val="false"/>
          <w:color w:val="000000"/>
          <w:sz w:val="28"/>
        </w:rPr>
        <w:t>
      2. Департаменту бюджетного планирования и прогнозирования (Токабекова Ж.Т.)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информационно-правовой системе «Әділет» и в официальных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0"/>
    <w:p>
      <w:pPr>
        <w:spacing w:after="0"/>
        <w:ind w:left="0"/>
        <w:jc w:val="both"/>
      </w:pPr>
      <w:r>
        <w:rPr>
          <w:rFonts w:ascii="Times New Roman"/>
          <w:b w:val="false"/>
          <w:i/>
          <w:color w:val="000000"/>
          <w:sz w:val="28"/>
        </w:rPr>
        <w:t>      Министр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