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bb01" w14:textId="b34b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2014 года № 97. Зарегистрировано в Министерстве юстиции Республики Казахстан 16 июля 2014 года № 9588.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банков второго уровня,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 </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«Настоящая Инструкция устанавливает нормативные значения и методику расчетов пруденциальных нормативов, обязательных к соблюдению банками второго уровня (далее - банки). Нормативные значения выражаются числом с тремя знаками после запятой.</w:t>
      </w:r>
      <w:r>
        <w:br/>
      </w:r>
      <w:r>
        <w:rPr>
          <w:rFonts w:ascii="Times New Roman"/>
          <w:b w:val="false"/>
          <w:i w:val="false"/>
          <w:color w:val="000000"/>
          <w:sz w:val="28"/>
        </w:rPr>
        <w:t>
      В период с 1 января 2015 года по 31 декабря 2015 года расчет пруденциальных нормативов осуществляется на основе финансовой отчетности, составленной в соответствии с международными стандартами финансовой отчетности (далее – МСФО) банков.</w:t>
      </w:r>
      <w:r>
        <w:br/>
      </w:r>
      <w:r>
        <w:rPr>
          <w:rFonts w:ascii="Times New Roman"/>
          <w:b w:val="false"/>
          <w:i w:val="false"/>
          <w:color w:val="000000"/>
          <w:sz w:val="28"/>
        </w:rPr>
        <w:t>
      С 1 января 2016 года расчет пруденциальных нормативов осуществляется на основе финансовой отчетности, а в случае наличия дочерних организаций - консолидированной финансовой отчетности, составленной в соответствии с МСФО, за исключением дочерних страховых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Собственный капитал рассчитывается как сумма капитала первого уровня и капитала второго уровня.</w:t>
      </w:r>
      <w:r>
        <w:br/>
      </w:r>
      <w:r>
        <w:rPr>
          <w:rFonts w:ascii="Times New Roman"/>
          <w:b w:val="false"/>
          <w:i w:val="false"/>
          <w:color w:val="000000"/>
          <w:sz w:val="28"/>
        </w:rPr>
        <w:t>
      Для целей настоящей Инструкции, помимо долгосрочных кредитных рейтинговых оценок агентства Standard&amp;Poor's, уполномоченным органом также признаются долгосрочные кредитные рейтинговые оценки агентств Moody's Investors Service и Fitch (далее - другие рейтинговые агентства).</w:t>
      </w:r>
      <w:r>
        <w:br/>
      </w:r>
      <w:r>
        <w:rPr>
          <w:rFonts w:ascii="Times New Roman"/>
          <w:b w:val="false"/>
          <w:i w:val="false"/>
          <w:color w:val="000000"/>
          <w:sz w:val="28"/>
        </w:rPr>
        <w:t>
      Для целей настоящей Инструкции к международным финансовым организациям относятся следующие организации:</w:t>
      </w:r>
      <w:r>
        <w:br/>
      </w:r>
      <w:r>
        <w:rPr>
          <w:rFonts w:ascii="Times New Roman"/>
          <w:b w:val="false"/>
          <w:i w:val="false"/>
          <w:color w:val="000000"/>
          <w:sz w:val="28"/>
        </w:rPr>
        <w:t>
      Азиатский банк развития (the Asian Development Bank);</w:t>
      </w:r>
      <w:r>
        <w:br/>
      </w:r>
      <w:r>
        <w:rPr>
          <w:rFonts w:ascii="Times New Roman"/>
          <w:b w:val="false"/>
          <w:i w:val="false"/>
          <w:color w:val="000000"/>
          <w:sz w:val="28"/>
        </w:rPr>
        <w:t>
      Африканский банк развития (the African Development Bank);</w:t>
      </w:r>
      <w:r>
        <w:br/>
      </w:r>
      <w:r>
        <w:rPr>
          <w:rFonts w:ascii="Times New Roman"/>
          <w:b w:val="false"/>
          <w:i w:val="false"/>
          <w:color w:val="000000"/>
          <w:sz w:val="28"/>
        </w:rPr>
        <w:t>
      Банк Развития Европейского Совета (the Council of Europe Development Bank);</w:t>
      </w:r>
      <w:r>
        <w:br/>
      </w:r>
      <w:r>
        <w:rPr>
          <w:rFonts w:ascii="Times New Roman"/>
          <w:b w:val="false"/>
          <w:i w:val="false"/>
          <w:color w:val="000000"/>
          <w:sz w:val="28"/>
        </w:rPr>
        <w:t>
      Евразийский банк развития (Eurasian Development Bank);</w:t>
      </w:r>
      <w:r>
        <w:br/>
      </w:r>
      <w:r>
        <w:rPr>
          <w:rFonts w:ascii="Times New Roman"/>
          <w:b w:val="false"/>
          <w:i w:val="false"/>
          <w:color w:val="000000"/>
          <w:sz w:val="28"/>
        </w:rPr>
        <w:t>
      Европейский банк реконструкции и развития (the European Bank for Reconstruction and Development);</w:t>
      </w:r>
      <w:r>
        <w:br/>
      </w:r>
      <w:r>
        <w:rPr>
          <w:rFonts w:ascii="Times New Roman"/>
          <w:b w:val="false"/>
          <w:i w:val="false"/>
          <w:color w:val="000000"/>
          <w:sz w:val="28"/>
        </w:rPr>
        <w:t>
      Европейский инвестиционный банк (the European Investment Bank);</w:t>
      </w:r>
      <w:r>
        <w:br/>
      </w:r>
      <w:r>
        <w:rPr>
          <w:rFonts w:ascii="Times New Roman"/>
          <w:b w:val="false"/>
          <w:i w:val="false"/>
          <w:color w:val="000000"/>
          <w:sz w:val="28"/>
        </w:rPr>
        <w:t>
      Исламский банк развития (the Islamic Development Bank);</w:t>
      </w:r>
      <w:r>
        <w:br/>
      </w:r>
      <w:r>
        <w:rPr>
          <w:rFonts w:ascii="Times New Roman"/>
          <w:b w:val="false"/>
          <w:i w:val="false"/>
          <w:color w:val="000000"/>
          <w:sz w:val="28"/>
        </w:rPr>
        <w:t>
      Исламская корпорация по развитию частного сектора (ICD);</w:t>
      </w:r>
      <w:r>
        <w:br/>
      </w:r>
      <w:r>
        <w:rPr>
          <w:rFonts w:ascii="Times New Roman"/>
          <w:b w:val="false"/>
          <w:i w:val="false"/>
          <w:color w:val="000000"/>
          <w:sz w:val="28"/>
        </w:rPr>
        <w:t>
      Межамериканский банк развития (the Inter-American Development Bank);</w:t>
      </w:r>
      <w:r>
        <w:br/>
      </w:r>
      <w:r>
        <w:rPr>
          <w:rFonts w:ascii="Times New Roman"/>
          <w:b w:val="false"/>
          <w:i w:val="false"/>
          <w:color w:val="000000"/>
          <w:sz w:val="28"/>
        </w:rPr>
        <w:t xml:space="preserve">
      Международная ассоциация развития; </w:t>
      </w:r>
      <w:r>
        <w:br/>
      </w:r>
      <w:r>
        <w:rPr>
          <w:rFonts w:ascii="Times New Roman"/>
          <w:b w:val="false"/>
          <w:i w:val="false"/>
          <w:color w:val="000000"/>
          <w:sz w:val="28"/>
        </w:rPr>
        <w:t>
      Международная финансовая корпорация (the International Finance Corporation);</w:t>
      </w:r>
      <w:r>
        <w:br/>
      </w:r>
      <w:r>
        <w:rPr>
          <w:rFonts w:ascii="Times New Roman"/>
          <w:b w:val="false"/>
          <w:i w:val="false"/>
          <w:color w:val="000000"/>
          <w:sz w:val="28"/>
        </w:rPr>
        <w:t>
      Международный банк реконструкции и развития (the International Bank for Reconstruction and Development);</w:t>
      </w:r>
      <w:r>
        <w:br/>
      </w:r>
      <w:r>
        <w:rPr>
          <w:rFonts w:ascii="Times New Roman"/>
          <w:b w:val="false"/>
          <w:i w:val="false"/>
          <w:color w:val="000000"/>
          <w:sz w:val="28"/>
        </w:rPr>
        <w:t>
      Международный валютный фонд;</w:t>
      </w:r>
      <w:r>
        <w:br/>
      </w:r>
      <w:r>
        <w:rPr>
          <w:rFonts w:ascii="Times New Roman"/>
          <w:b w:val="false"/>
          <w:i w:val="false"/>
          <w:color w:val="000000"/>
          <w:sz w:val="28"/>
        </w:rPr>
        <w:t>
      Международный центр по урегулированию инвестиционных споров;</w:t>
      </w:r>
      <w:r>
        <w:br/>
      </w:r>
      <w:r>
        <w:rPr>
          <w:rFonts w:ascii="Times New Roman"/>
          <w:b w:val="false"/>
          <w:i w:val="false"/>
          <w:color w:val="000000"/>
          <w:sz w:val="28"/>
        </w:rPr>
        <w:t>
      Многостороннее агентство гарантии инвестиций;</w:t>
      </w:r>
      <w:r>
        <w:br/>
      </w:r>
      <w:r>
        <w:rPr>
          <w:rFonts w:ascii="Times New Roman"/>
          <w:b w:val="false"/>
          <w:i w:val="false"/>
          <w:color w:val="000000"/>
          <w:sz w:val="28"/>
        </w:rPr>
        <w:t>
      Скандинавский инвестиционный банк (the Nordic Investment Bank).»;</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«4. Капитал первого уровня рассчитывается как сумма основного капитала и добавочного капитала: </w:t>
      </w:r>
      <w:r>
        <w:br/>
      </w:r>
      <w:r>
        <w:rPr>
          <w:rFonts w:ascii="Times New Roman"/>
          <w:b w:val="false"/>
          <w:i w:val="false"/>
          <w:color w:val="000000"/>
          <w:sz w:val="28"/>
        </w:rPr>
        <w:t>
      1) основной капитал рассчитывается как сумма:</w:t>
      </w:r>
      <w:r>
        <w:br/>
      </w:r>
      <w:r>
        <w:rPr>
          <w:rFonts w:ascii="Times New Roman"/>
          <w:b w:val="false"/>
          <w:i w:val="false"/>
          <w:color w:val="000000"/>
          <w:sz w:val="28"/>
        </w:rPr>
        <w:t>
      оплаченных простых акций, соответствующих критериям финансовых инструментов основного капитала, предусмотренных приложением 1-1 к настоящей Инструкции;</w:t>
      </w:r>
      <w:r>
        <w:br/>
      </w: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r>
        <w:br/>
      </w:r>
      <w:r>
        <w:rPr>
          <w:rFonts w:ascii="Times New Roman"/>
          <w:b w:val="false"/>
          <w:i w:val="false"/>
          <w:color w:val="000000"/>
          <w:sz w:val="28"/>
        </w:rPr>
        <w:t xml:space="preserve">
      дополнительного оплаченного капитала; </w:t>
      </w:r>
      <w:r>
        <w:br/>
      </w:r>
      <w:r>
        <w:rPr>
          <w:rFonts w:ascii="Times New Roman"/>
          <w:b w:val="false"/>
          <w:i w:val="false"/>
          <w:color w:val="000000"/>
          <w:sz w:val="28"/>
        </w:rPr>
        <w:t>
      нераспределенной чистой прибыли прошлых лет;</w:t>
      </w:r>
      <w:r>
        <w:br/>
      </w:r>
      <w:r>
        <w:rPr>
          <w:rFonts w:ascii="Times New Roman"/>
          <w:b w:val="false"/>
          <w:i w:val="false"/>
          <w:color w:val="000000"/>
          <w:sz w:val="28"/>
        </w:rPr>
        <w:t>
      нераспределенной чистой прибыли текущего года;</w:t>
      </w:r>
      <w:r>
        <w:br/>
      </w:r>
      <w:r>
        <w:rPr>
          <w:rFonts w:ascii="Times New Roman"/>
          <w:b w:val="false"/>
          <w:i w:val="false"/>
          <w:color w:val="000000"/>
          <w:sz w:val="28"/>
        </w:rPr>
        <w:t>
      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(зарегистрированного в Реестре государственной регистрации нормативных правовых актов под № 6793) (далее – Типовой план счетов) по состоянию на 1 января 2014 года и 3400 «Динамические резервы» Типового плана счетов по состоянию на 1 января 2014 года;</w:t>
      </w:r>
      <w:r>
        <w:br/>
      </w: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r>
        <w:br/>
      </w:r>
      <w:r>
        <w:rPr>
          <w:rFonts w:ascii="Times New Roman"/>
          <w:b w:val="false"/>
          <w:i w:val="false"/>
          <w:color w:val="000000"/>
          <w:sz w:val="28"/>
        </w:rPr>
        <w:t>
      за минусом следующих регуляторных корректировок:</w:t>
      </w:r>
      <w:r>
        <w:br/>
      </w:r>
      <w:r>
        <w:rPr>
          <w:rFonts w:ascii="Times New Roman"/>
          <w:b w:val="false"/>
          <w:i w:val="false"/>
          <w:color w:val="000000"/>
          <w:sz w:val="28"/>
        </w:rPr>
        <w:t>
      собственных выкупленных простых акций;</w:t>
      </w:r>
      <w:r>
        <w:br/>
      </w:r>
      <w:r>
        <w:rPr>
          <w:rFonts w:ascii="Times New Roman"/>
          <w:b w:val="false"/>
          <w:i w:val="false"/>
          <w:color w:val="000000"/>
          <w:sz w:val="28"/>
        </w:rPr>
        <w:t>
      нематериальных активов, включая гудвилл;</w:t>
      </w:r>
      <w:r>
        <w:br/>
      </w:r>
      <w:r>
        <w:rPr>
          <w:rFonts w:ascii="Times New Roman"/>
          <w:b w:val="false"/>
          <w:i w:val="false"/>
          <w:color w:val="000000"/>
          <w:sz w:val="28"/>
        </w:rPr>
        <w:t>
      убытков прошлых лет;</w:t>
      </w:r>
      <w:r>
        <w:br/>
      </w:r>
      <w:r>
        <w:rPr>
          <w:rFonts w:ascii="Times New Roman"/>
          <w:b w:val="false"/>
          <w:i w:val="false"/>
          <w:color w:val="000000"/>
          <w:sz w:val="28"/>
        </w:rPr>
        <w:t>
      убытков текущего года;</w:t>
      </w:r>
      <w:r>
        <w:br/>
      </w: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r>
        <w:br/>
      </w:r>
      <w:r>
        <w:rPr>
          <w:rFonts w:ascii="Times New Roman"/>
          <w:b w:val="false"/>
          <w:i w:val="false"/>
          <w:color w:val="000000"/>
          <w:sz w:val="28"/>
        </w:rPr>
        <w:t>
      резервов по прочей переоценке;</w:t>
      </w:r>
      <w:r>
        <w:br/>
      </w: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предельный доход будущих периодов в связи с полученным из условий секьюритизации ожиданием полного или частичного дохода в будущем;</w:t>
      </w:r>
      <w:r>
        <w:br/>
      </w: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 в соответствии с МСФО 9;</w:t>
      </w:r>
      <w:r>
        <w:br/>
      </w: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r>
        <w:br/>
      </w:r>
      <w:r>
        <w:rPr>
          <w:rFonts w:ascii="Times New Roman"/>
          <w:b w:val="false"/>
          <w:i w:val="false"/>
          <w:color w:val="000000"/>
          <w:sz w:val="28"/>
        </w:rPr>
        <w:t>
      инвестиций, указанных в пункте 4-1 настоящей Инструкции;</w:t>
      </w:r>
      <w:r>
        <w:br/>
      </w: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приложении 1-1 к настоящей Инструкции,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приложением 1-1 к настоящей Инструкции.</w:t>
      </w:r>
      <w:r>
        <w:br/>
      </w:r>
      <w:r>
        <w:rPr>
          <w:rFonts w:ascii="Times New Roman"/>
          <w:b w:val="false"/>
          <w:i w:val="false"/>
          <w:color w:val="000000"/>
          <w:sz w:val="28"/>
        </w:rPr>
        <w:t>
      Размер добавочного капитала уменьшается на сумму следующих регуляторных корректировок:</w:t>
      </w:r>
      <w:r>
        <w:br/>
      </w:r>
      <w:r>
        <w:rPr>
          <w:rFonts w:ascii="Times New Roman"/>
          <w:b w:val="false"/>
          <w:i w:val="false"/>
          <w:color w:val="000000"/>
          <w:sz w:val="28"/>
        </w:rPr>
        <w:t xml:space="preserve">
      инвестиций банка в собственные бессрочные финансовые инструменты прямым либо косвенным способом; </w:t>
      </w:r>
      <w:r>
        <w:br/>
      </w:r>
      <w:r>
        <w:rPr>
          <w:rFonts w:ascii="Times New Roman"/>
          <w:b w:val="false"/>
          <w:i w:val="false"/>
          <w:color w:val="000000"/>
          <w:sz w:val="28"/>
        </w:rPr>
        <w:t>
      собственных выкупленных привилегированных акций банка;</w:t>
      </w:r>
      <w:r>
        <w:br/>
      </w:r>
      <w:r>
        <w:rPr>
          <w:rFonts w:ascii="Times New Roman"/>
          <w:b w:val="false"/>
          <w:i w:val="false"/>
          <w:color w:val="000000"/>
          <w:sz w:val="28"/>
        </w:rPr>
        <w:t>
      инвестиций, указанных в пункте 4-1 настоящей Инструкции;</w:t>
      </w:r>
      <w:r>
        <w:br/>
      </w: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r>
        <w:br/>
      </w: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r>
        <w:br/>
      </w:r>
      <w:r>
        <w:rPr>
          <w:rFonts w:ascii="Times New Roman"/>
          <w:b w:val="false"/>
          <w:i w:val="false"/>
          <w:color w:val="000000"/>
          <w:sz w:val="28"/>
        </w:rPr>
        <w:t>
      Инвестиции банка представляют собой вложения банка в акции (доли участия в уставном капитале), бессрочные финансовые инструменты, а также субординированный долг юридического лица.»;</w:t>
      </w:r>
      <w:r>
        <w:br/>
      </w:r>
      <w:r>
        <w:rPr>
          <w:rFonts w:ascii="Times New Roman"/>
          <w:b w:val="false"/>
          <w:i w:val="false"/>
          <w:color w:val="000000"/>
          <w:sz w:val="28"/>
        </w:rPr>
        <w:t>
</w:t>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«4-1. Вычет инвестиций в акции (доли участия в уставном капитале), бессрочные финансовые инструменты, субординированный долг (далее - финансовые инструменты) банков из капитала первого уровня осуществляется в следующем порядке:</w:t>
      </w:r>
      <w:r>
        <w:br/>
      </w:r>
      <w:r>
        <w:rPr>
          <w:rFonts w:ascii="Times New Roman"/>
          <w:b w:val="false"/>
          <w:i w:val="false"/>
          <w:color w:val="000000"/>
          <w:sz w:val="28"/>
        </w:rPr>
        <w:t xml:space="preserve">
      1) из основного капитала: </w:t>
      </w:r>
      <w:r>
        <w:br/>
      </w:r>
      <w:r>
        <w:rPr>
          <w:rFonts w:ascii="Times New Roman"/>
          <w:b w:val="false"/>
          <w:i w:val="false"/>
          <w:color w:val="000000"/>
          <w:sz w:val="28"/>
        </w:rPr>
        <w:t>
      с 1 января 2015 года по 31 декабря 2015 года:</w:t>
      </w:r>
      <w:r>
        <w:br/>
      </w:r>
      <w:r>
        <w:rPr>
          <w:rFonts w:ascii="Times New Roman"/>
          <w:b w:val="false"/>
          <w:i w:val="false"/>
          <w:color w:val="000000"/>
          <w:sz w:val="28"/>
        </w:rPr>
        <w:t>
      сумма инвестиций, составляющих менее 10 (десяти) процентов от выпущенных акций страховой организации, в совокупности превышающая 10 (десять) процентов от основного капитала банка;</w:t>
      </w:r>
      <w:r>
        <w:br/>
      </w:r>
      <w:r>
        <w:rPr>
          <w:rFonts w:ascii="Times New Roman"/>
          <w:b w:val="false"/>
          <w:i w:val="false"/>
          <w:color w:val="000000"/>
          <w:sz w:val="28"/>
        </w:rPr>
        <w:t>
      сумма инвестиций, составляющих 10 (десять) и более процентов от выпущенных акций страховой организации, в совокупности превышающая 15 (пятнадцать) процентов от основного капитала банка;</w:t>
      </w:r>
      <w:r>
        <w:br/>
      </w:r>
      <w:r>
        <w:rPr>
          <w:rFonts w:ascii="Times New Roman"/>
          <w:b w:val="false"/>
          <w:i w:val="false"/>
          <w:color w:val="000000"/>
          <w:sz w:val="28"/>
        </w:rPr>
        <w:t>
      с 1 января 2016 года:</w:t>
      </w:r>
      <w:r>
        <w:br/>
      </w:r>
      <w:r>
        <w:rPr>
          <w:rFonts w:ascii="Times New Roman"/>
          <w:b w:val="false"/>
          <w:i w:val="false"/>
          <w:color w:val="000000"/>
          <w:sz w:val="28"/>
        </w:rPr>
        <w:t>
      инвестиций банка в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согласно следующим условиям:</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простые акции в общей сумме инвестиций, подлежит вычету из основного капитала;</w:t>
      </w:r>
      <w:r>
        <w:br/>
      </w: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превышают 15 (пятнадцать) процентов от основного капитала банка после применения регуляторных корректировок, указанных в пункте 4 настоящей Инструкции, сумма превышения подлежит вычету из основного капитала.</w:t>
      </w:r>
      <w:r>
        <w:br/>
      </w:r>
      <w:r>
        <w:rPr>
          <w:rFonts w:ascii="Times New Roman"/>
          <w:b w:val="false"/>
          <w:i w:val="false"/>
          <w:color w:val="000000"/>
          <w:sz w:val="28"/>
        </w:rPr>
        <w:t>
      С 1 января 2018 года сумма инвестиций, составляющих 10 (десять) и более процентов от выпущенных акций (долей участия в уставном капитале) юридического лица, и отложенных налоговых активов, признанных в отношении вычитаемых временных разниц, не превышает 15 (пятнадцать) процентов от основного капитала банка, после применения регуляторных корректировок, указанных в пункте 4 настоящей Инструкции;</w:t>
      </w:r>
      <w:r>
        <w:br/>
      </w:r>
      <w:r>
        <w:rPr>
          <w:rFonts w:ascii="Times New Roman"/>
          <w:b w:val="false"/>
          <w:i w:val="false"/>
          <w:color w:val="000000"/>
          <w:sz w:val="28"/>
        </w:rPr>
        <w:t>
      2) из добавочного капитала:</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бессрочные финансовые инструменты в общей сумме инвестиций, подлежит вычету из добавочного капитала;</w:t>
      </w:r>
      <w:r>
        <w:br/>
      </w: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r>
        <w:br/>
      </w: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r>
        <w:br/>
      </w:r>
      <w:r>
        <w:rPr>
          <w:rFonts w:ascii="Times New Roman"/>
          <w:b w:val="false"/>
          <w:i w:val="false"/>
          <w:color w:val="000000"/>
          <w:sz w:val="28"/>
        </w:rPr>
        <w:t>
      3) из капитала второго уровня:</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субординированный долг в общей сумме инвестиций, подлежит вычету из капитала второго уровня;</w:t>
      </w:r>
      <w:r>
        <w:br/>
      </w: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подлежит вычету из капитала второго уровня.</w:t>
      </w:r>
      <w:r>
        <w:br/>
      </w: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r>
        <w:br/>
      </w:r>
      <w:r>
        <w:rPr>
          <w:rFonts w:ascii="Times New Roman"/>
          <w:b w:val="false"/>
          <w:i w:val="false"/>
          <w:color w:val="000000"/>
          <w:sz w:val="28"/>
        </w:rPr>
        <w:t>
      Инвестиции, невычитаемые из расчета собственного капитала, взвешиваются по степени кредитного риска в соответствии с приложением 1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Бессрочные финансовые инструменты, привлеченные до 1 января 2015 года, а также оплаченные привилегированные акции банка, не соответствующие критериям, установленным в приложении 1-1 к настоящей Инструкции, включаются в добавочный капитал согласно следующим условиям:</w:t>
      </w:r>
      <w:r>
        <w:br/>
      </w:r>
      <w:r>
        <w:rPr>
          <w:rFonts w:ascii="Times New Roman"/>
          <w:b w:val="false"/>
          <w:i w:val="false"/>
          <w:color w:val="000000"/>
          <w:sz w:val="28"/>
        </w:rPr>
        <w:t>
      с 1 января 2015 года – в размере 80 (восьмидесяти) процентов суммы бессрочных финансовых инструментов и (или) оплаченных привилегированных акций);</w:t>
      </w:r>
      <w:r>
        <w:br/>
      </w:r>
      <w:r>
        <w:rPr>
          <w:rFonts w:ascii="Times New Roman"/>
          <w:b w:val="false"/>
          <w:i w:val="false"/>
          <w:color w:val="000000"/>
          <w:sz w:val="28"/>
        </w:rPr>
        <w:t>
      с 1 января 2016 года – в размере 60 (шестидесяти) процентов суммы бессрочных финансовых инструментов и (или) оплаченных привилегированных акций;</w:t>
      </w:r>
      <w:r>
        <w:br/>
      </w:r>
      <w:r>
        <w:rPr>
          <w:rFonts w:ascii="Times New Roman"/>
          <w:b w:val="false"/>
          <w:i w:val="false"/>
          <w:color w:val="000000"/>
          <w:sz w:val="28"/>
        </w:rPr>
        <w:t>
      с 1 января 2017 года – в размере 40 (сорока) процентов суммы бессрочных финансовых инструментов и (или) оплаченных привилегированных акций;</w:t>
      </w:r>
      <w:r>
        <w:br/>
      </w:r>
      <w:r>
        <w:rPr>
          <w:rFonts w:ascii="Times New Roman"/>
          <w:b w:val="false"/>
          <w:i w:val="false"/>
          <w:color w:val="000000"/>
          <w:sz w:val="28"/>
        </w:rPr>
        <w:t>
      с 1 января 2018 года – в размере 20 (двадцати) процентов суммы бессрочных финансовых инструментов и (или) оплаченных привилегированных акций;</w:t>
      </w:r>
      <w:r>
        <w:br/>
      </w:r>
      <w:r>
        <w:rPr>
          <w:rFonts w:ascii="Times New Roman"/>
          <w:b w:val="false"/>
          <w:i w:val="false"/>
          <w:color w:val="000000"/>
          <w:sz w:val="28"/>
        </w:rPr>
        <w:t>
      с 1 января 2019 года сумма бессрочных финансовых инструментов и (или) оплаченных привилегированных акций исключается из расчета добавочного капитала.</w:t>
      </w:r>
      <w:r>
        <w:br/>
      </w: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и оплаченных привилегированных акций в размере фактически полученных банком денег.</w:t>
      </w:r>
      <w:r>
        <w:br/>
      </w:r>
      <w:r>
        <w:rPr>
          <w:rFonts w:ascii="Times New Roman"/>
          <w:b w:val="false"/>
          <w:i w:val="false"/>
          <w:color w:val="000000"/>
          <w:sz w:val="28"/>
        </w:rPr>
        <w:t xml:space="preserve">
      9.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приложении 1-1 к настоящей Инструкции. </w:t>
      </w:r>
      <w:r>
        <w:br/>
      </w:r>
      <w:r>
        <w:rPr>
          <w:rFonts w:ascii="Times New Roman"/>
          <w:b w:val="false"/>
          <w:i w:val="false"/>
          <w:color w:val="000000"/>
          <w:sz w:val="28"/>
        </w:rPr>
        <w:t>
      В целях письменного подтверждения уполномоченного органа, предусмотренного настоящим пунктом,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w:t>
      </w:r>
      <w:r>
        <w:br/>
      </w:r>
      <w:r>
        <w:rPr>
          <w:rFonts w:ascii="Times New Roman"/>
          <w:b w:val="false"/>
          <w:i w:val="false"/>
          <w:color w:val="000000"/>
          <w:sz w:val="28"/>
        </w:rPr>
        <w:t>
      10. Капитал второго уровня рассчитывается как сумма:</w:t>
      </w:r>
      <w:r>
        <w:br/>
      </w: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r>
        <w:br/>
      </w:r>
      <w:r>
        <w:rPr>
          <w:rFonts w:ascii="Times New Roman"/>
          <w:b w:val="false"/>
          <w:i w:val="false"/>
          <w:color w:val="000000"/>
          <w:sz w:val="28"/>
        </w:rPr>
        <w:t>
      за минусом инвестиций, указанных в пункте 4-1 настоящей Инструкции.</w:t>
      </w:r>
      <w:r>
        <w:br/>
      </w:r>
      <w:r>
        <w:rPr>
          <w:rFonts w:ascii="Times New Roman"/>
          <w:b w:val="false"/>
          <w:i w:val="false"/>
          <w:color w:val="000000"/>
          <w:sz w:val="28"/>
        </w:rPr>
        <w:t>
      Для банка, подлежащего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субординированный долг включается в капитал второго уровня в сумме, не превышающей 75 (семьдесят пять) процентов суммы капитала первого уровня за минусом выкупленного собственного субординированного долга банка, в течение пяти лет со дня истечения срока проведения реструктуризации, определенного решением суда.</w:t>
      </w:r>
      <w:r>
        <w:br/>
      </w: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в приложении 1-1 к настоящей Инструкции, включается в расчет капитала второго уровня согласно следующим условиям:</w:t>
      </w:r>
      <w:r>
        <w:br/>
      </w:r>
      <w:r>
        <w:rPr>
          <w:rFonts w:ascii="Times New Roman"/>
          <w:b w:val="false"/>
          <w:i w:val="false"/>
          <w:color w:val="000000"/>
          <w:sz w:val="28"/>
        </w:rPr>
        <w:t>
      с 1 января 2015 года – в размере 80 (восьмидесяти) процентов суммы субординированного долга;</w:t>
      </w:r>
      <w:r>
        <w:br/>
      </w:r>
      <w:r>
        <w:rPr>
          <w:rFonts w:ascii="Times New Roman"/>
          <w:b w:val="false"/>
          <w:i w:val="false"/>
          <w:color w:val="000000"/>
          <w:sz w:val="28"/>
        </w:rPr>
        <w:t>
      с 1 января 2016 года – в размере 60 (шестидесяти) процентов суммы субординированного долга;</w:t>
      </w:r>
      <w:r>
        <w:br/>
      </w:r>
      <w:r>
        <w:rPr>
          <w:rFonts w:ascii="Times New Roman"/>
          <w:b w:val="false"/>
          <w:i w:val="false"/>
          <w:color w:val="000000"/>
          <w:sz w:val="28"/>
        </w:rPr>
        <w:t>
      с 1 января 2017 года – в размере 40 (сорока) процентов суммы субординированного долга;</w:t>
      </w:r>
      <w:r>
        <w:br/>
      </w:r>
      <w:r>
        <w:rPr>
          <w:rFonts w:ascii="Times New Roman"/>
          <w:b w:val="false"/>
          <w:i w:val="false"/>
          <w:color w:val="000000"/>
          <w:sz w:val="28"/>
        </w:rPr>
        <w:t>
      с 1 января 2018 года – в размере 20 (двадцати) процентов суммы субординированного долга;</w:t>
      </w:r>
      <w:r>
        <w:br/>
      </w:r>
      <w:r>
        <w:rPr>
          <w:rFonts w:ascii="Times New Roman"/>
          <w:b w:val="false"/>
          <w:i w:val="false"/>
          <w:color w:val="000000"/>
          <w:sz w:val="28"/>
        </w:rPr>
        <w:t>
      с 1 января 2019 года сумма субординированного долга исключается из расчета капитала второго уровня.</w:t>
      </w:r>
      <w:r>
        <w:br/>
      </w:r>
      <w:r>
        <w:rPr>
          <w:rFonts w:ascii="Times New Roman"/>
          <w:b w:val="false"/>
          <w:i w:val="false"/>
          <w:color w:val="000000"/>
          <w:sz w:val="28"/>
        </w:rPr>
        <w:t>
      Размер субординированного долга со сроком погашения по состоянию на 1 января 2015 год,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Субординированный долг банка - это необеспеченное обязательство банка, соответствующее критериям, установленным в приложении 1-1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Достаточность собственного капитала банка характеризуется следующими коэффициентами:</w:t>
      </w:r>
      <w:r>
        <w:br/>
      </w:r>
      <w:r>
        <w:rPr>
          <w:rFonts w:ascii="Times New Roman"/>
          <w:b w:val="false"/>
          <w:i w:val="false"/>
          <w:color w:val="000000"/>
          <w:sz w:val="28"/>
        </w:rPr>
        <w:t xml:space="preserve">
      1) коэффициент достаточности основного капитала (k1): </w:t>
      </w:r>
      <w:r>
        <w:br/>
      </w:r>
      <w:r>
        <w:rPr>
          <w:rFonts w:ascii="Times New Roman"/>
          <w:b w:val="false"/>
          <w:i w:val="false"/>
          <w:color w:val="000000"/>
          <w:sz w:val="28"/>
        </w:rPr>
        <w:t>
      отношением основного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2) коэффициент достаточности капитала первого уровня (k1-2):</w:t>
      </w:r>
      <w:r>
        <w:br/>
      </w:r>
      <w:r>
        <w:rPr>
          <w:rFonts w:ascii="Times New Roman"/>
          <w:b w:val="false"/>
          <w:i w:val="false"/>
          <w:color w:val="000000"/>
          <w:sz w:val="28"/>
        </w:rPr>
        <w:t>
      отношением капитала первого уровня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3) коэффициент достаточности собственного капитала (k2):</w:t>
      </w:r>
      <w:r>
        <w:br/>
      </w:r>
      <w:r>
        <w:rPr>
          <w:rFonts w:ascii="Times New Roman"/>
          <w:b w:val="false"/>
          <w:i w:val="false"/>
          <w:color w:val="000000"/>
          <w:sz w:val="28"/>
        </w:rPr>
        <w:t>
      отношением собственного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r>
        <w:br/>
      </w:r>
      <w:r>
        <w:rPr>
          <w:rFonts w:ascii="Times New Roman"/>
          <w:b w:val="false"/>
          <w:i w:val="false"/>
          <w:color w:val="000000"/>
          <w:sz w:val="28"/>
        </w:rPr>
        <w:t>
      Значения коэффициентов достаточности собственного капитала установлены приложением 1-2 к настоящей Инструкции.</w:t>
      </w:r>
      <w:r>
        <w:br/>
      </w:r>
      <w:r>
        <w:rPr>
          <w:rFonts w:ascii="Times New Roman"/>
          <w:b w:val="false"/>
          <w:i w:val="false"/>
          <w:color w:val="000000"/>
          <w:sz w:val="28"/>
        </w:rPr>
        <w:t xml:space="preserve">
      В дополнение к значениям коэффициентов достаточности собственного капитала устанавливаются следующие значения буферов собственного капитала: </w:t>
      </w:r>
      <w:r>
        <w:br/>
      </w:r>
      <w:r>
        <w:rPr>
          <w:rFonts w:ascii="Times New Roman"/>
          <w:b w:val="false"/>
          <w:i w:val="false"/>
          <w:color w:val="000000"/>
          <w:sz w:val="28"/>
        </w:rPr>
        <w:t>
      требование к консервационному буферу выполняется на постоянной основе и составляет:</w:t>
      </w:r>
      <w:r>
        <w:br/>
      </w:r>
      <w:r>
        <w:rPr>
          <w:rFonts w:ascii="Times New Roman"/>
          <w:b w:val="false"/>
          <w:i w:val="false"/>
          <w:color w:val="000000"/>
          <w:sz w:val="28"/>
        </w:rPr>
        <w:t>
      для всех банков:</w:t>
      </w:r>
      <w:r>
        <w:br/>
      </w:r>
      <w:r>
        <w:rPr>
          <w:rFonts w:ascii="Times New Roman"/>
          <w:b w:val="false"/>
          <w:i w:val="false"/>
          <w:color w:val="000000"/>
          <w:sz w:val="28"/>
        </w:rPr>
        <w:t>
      с 1 января 2015 года – 1 процент;</w:t>
      </w:r>
      <w:r>
        <w:br/>
      </w:r>
      <w:r>
        <w:rPr>
          <w:rFonts w:ascii="Times New Roman"/>
          <w:b w:val="false"/>
          <w:i w:val="false"/>
          <w:color w:val="000000"/>
          <w:sz w:val="28"/>
        </w:rPr>
        <w:t>
      с 1 января 2016 года – 2 процента;</w:t>
      </w:r>
      <w:r>
        <w:br/>
      </w:r>
      <w:r>
        <w:rPr>
          <w:rFonts w:ascii="Times New Roman"/>
          <w:b w:val="false"/>
          <w:i w:val="false"/>
          <w:color w:val="000000"/>
          <w:sz w:val="28"/>
        </w:rPr>
        <w:t>
      с 1 января 2017 года – 3 процента;</w:t>
      </w:r>
      <w:r>
        <w:br/>
      </w:r>
      <w:r>
        <w:rPr>
          <w:rFonts w:ascii="Times New Roman"/>
          <w:b w:val="false"/>
          <w:i w:val="false"/>
          <w:color w:val="000000"/>
          <w:sz w:val="28"/>
        </w:rPr>
        <w:t>
      для системообразующих банков:</w:t>
      </w:r>
      <w:r>
        <w:br/>
      </w:r>
      <w:r>
        <w:rPr>
          <w:rFonts w:ascii="Times New Roman"/>
          <w:b w:val="false"/>
          <w:i w:val="false"/>
          <w:color w:val="000000"/>
          <w:sz w:val="28"/>
        </w:rPr>
        <w:t>
      с 1 января 2015 года – 2,5 процента;</w:t>
      </w:r>
      <w:r>
        <w:br/>
      </w:r>
      <w:r>
        <w:rPr>
          <w:rFonts w:ascii="Times New Roman"/>
          <w:b w:val="false"/>
          <w:i w:val="false"/>
          <w:color w:val="000000"/>
          <w:sz w:val="28"/>
        </w:rPr>
        <w:t>
      с 1 января 2016 года – 3 процента;</w:t>
      </w:r>
      <w:r>
        <w:br/>
      </w: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r>
        <w:br/>
      </w:r>
      <w:r>
        <w:rPr>
          <w:rFonts w:ascii="Times New Roman"/>
          <w:b w:val="false"/>
          <w:i w:val="false"/>
          <w:color w:val="000000"/>
          <w:sz w:val="28"/>
        </w:rPr>
        <w:t>
      системный буфер, требование к расчету которого, распространяется на системообразующие банки, признанные таковыми в соответствии с требованиями законодательства Республики Казахстан. Требование к системному буферу выполняется с 1 января 2016 года на постоянной основе и составляет 1 (один) процент от суммы активов, условных и возможных обязательств, взвешенных с учетом рисков.</w:t>
      </w:r>
      <w:r>
        <w:br/>
      </w:r>
      <w:r>
        <w:rPr>
          <w:rFonts w:ascii="Times New Roman"/>
          <w:b w:val="false"/>
          <w:i w:val="false"/>
          <w:color w:val="000000"/>
          <w:sz w:val="28"/>
        </w:rPr>
        <w:t>
      Если фактические значения коэффициентов k1, k1-2 и k2 не ниже, установленных в приложении 1-2 к настоящей Инструкции, но при этом любой из указанных коэффициентов ниже чем, установленные значения коэффициентов с учетом буферов собственного капитала, то на использование нераспределенного чистого дохода банка накладывается ограничение в соответствии с приложением 1-3 к настоящей Инструкции,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w:t>
      </w:r>
      <w:r>
        <w:br/>
      </w: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4 настоящей Инструкции.</w:t>
      </w:r>
      <w:r>
        <w:br/>
      </w:r>
      <w:r>
        <w:rPr>
          <w:rFonts w:ascii="Times New Roman"/>
          <w:b w:val="false"/>
          <w:i w:val="false"/>
          <w:color w:val="000000"/>
          <w:sz w:val="28"/>
        </w:rPr>
        <w:t>
      Размер буферов собственного капитала, рассчитанный в соответствии с требованиями настоящей Инструкции, не отражается в бухгалтерском учете.</w:t>
      </w:r>
      <w:r>
        <w:br/>
      </w:r>
      <w:r>
        <w:rPr>
          <w:rFonts w:ascii="Times New Roman"/>
          <w:b w:val="false"/>
          <w:i w:val="false"/>
          <w:color w:val="000000"/>
          <w:sz w:val="28"/>
        </w:rPr>
        <w:t>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три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 16 изложить в следующей редакции:</w:t>
      </w:r>
      <w:r>
        <w:br/>
      </w:r>
      <w:r>
        <w:rPr>
          <w:rFonts w:ascii="Times New Roman"/>
          <w:b w:val="false"/>
          <w:i w:val="false"/>
          <w:color w:val="000000"/>
          <w:sz w:val="28"/>
        </w:rPr>
        <w:t>
      «16. Расчет активов, условных и возможных обязательств, взвешиваемых по степени кредитного риска, проводится согласно приложениям 1 и 2 к настоящей Инструкции.</w:t>
      </w:r>
      <w:r>
        <w:br/>
      </w: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международными стандартами финансовой отчетности.</w:t>
      </w:r>
      <w:r>
        <w:br/>
      </w:r>
      <w:r>
        <w:rPr>
          <w:rFonts w:ascii="Times New Roman"/>
          <w:b w:val="false"/>
          <w:i w:val="false"/>
          <w:color w:val="000000"/>
          <w:sz w:val="28"/>
        </w:rPr>
        <w:t>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приложением 2 к настоящей Инструкции, на степень риска, соответствующую категории контрагента, указанной в приложении 1 к настоящей Инструкции, по которому банк несет кредитные риски.</w:t>
      </w:r>
      <w:r>
        <w:br/>
      </w: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приложении 1 к настоящей Инструкции.</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3 к настоящей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w:t>
      </w:r>
      <w:r>
        <w:br/>
      </w:r>
      <w:r>
        <w:rPr>
          <w:rFonts w:ascii="Times New Roman"/>
          <w:b w:val="false"/>
          <w:i w:val="false"/>
          <w:color w:val="000000"/>
          <w:sz w:val="28"/>
        </w:rPr>
        <w:t xml:space="preserve">
      Проданные опционы не включаются в расчет условных и возможных обязательств, взвешенных с учетом кредитного риска. </w:t>
      </w:r>
      <w:r>
        <w:br/>
      </w:r>
      <w:r>
        <w:rPr>
          <w:rFonts w:ascii="Times New Roman"/>
          <w:b w:val="false"/>
          <w:i w:val="false"/>
          <w:color w:val="000000"/>
          <w:sz w:val="28"/>
        </w:rPr>
        <w:t>
      Расчет активов, условных и возможных требований и обязательств с учетом рыночного риска проводится согласно пунктам 17, 18, 19, 20, 21, 22, 23, 24, 25, 26, 27, 28, 29 и 30 настоящей Инструкции.</w:t>
      </w:r>
      <w:r>
        <w:br/>
      </w:r>
      <w:r>
        <w:rPr>
          <w:rFonts w:ascii="Times New Roman"/>
          <w:b w:val="false"/>
          <w:i w:val="false"/>
          <w:color w:val="000000"/>
          <w:sz w:val="28"/>
        </w:rPr>
        <w:t>
      Расчет операционного риска проводится согласно пункту 31 настоящей Инструкции.</w:t>
      </w:r>
      <w:r>
        <w:br/>
      </w: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r>
        <w:br/>
      </w:r>
      <w:r>
        <w:rPr>
          <w:rFonts w:ascii="Times New Roman"/>
          <w:b w:val="false"/>
          <w:i w:val="false"/>
          <w:color w:val="000000"/>
          <w:sz w:val="28"/>
        </w:rPr>
        <w:t>
      Требования настоящей Инструкции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крупным акционером которых является Акционерное общество «Фонд национального благосостояния «Самрук-Казына»,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течении которого действуют значения коэффициентов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r>
        <w:br/>
      </w: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r>
        <w:br/>
      </w: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С 1 января 2015 года значения коэффициента приведения равно 12,5.</w:t>
      </w:r>
      <w:r>
        <w:br/>
      </w:r>
      <w:r>
        <w:rPr>
          <w:rFonts w:ascii="Times New Roman"/>
          <w:b w:val="false"/>
          <w:i w:val="false"/>
          <w:color w:val="000000"/>
          <w:sz w:val="28"/>
        </w:rPr>
        <w:t xml:space="preserve">
      С 1 января 2016 года значения коэффициента приведения равно 12,5. </w:t>
      </w:r>
      <w:r>
        <w:br/>
      </w:r>
      <w:r>
        <w:rPr>
          <w:rFonts w:ascii="Times New Roman"/>
          <w:b w:val="false"/>
          <w:i w:val="false"/>
          <w:color w:val="000000"/>
          <w:sz w:val="28"/>
        </w:rPr>
        <w:t>
      С 1 января 2017 года значения коэффициента приведения равно 11,1.</w:t>
      </w:r>
      <w:r>
        <w:br/>
      </w:r>
      <w:r>
        <w:rPr>
          <w:rFonts w:ascii="Times New Roman"/>
          <w:b w:val="false"/>
          <w:i w:val="false"/>
          <w:color w:val="000000"/>
          <w:sz w:val="28"/>
        </w:rPr>
        <w:t>
      С 1 января 2018 года значения коэффициента приведения равно 10.</w:t>
      </w:r>
      <w:r>
        <w:br/>
      </w:r>
      <w:r>
        <w:rPr>
          <w:rFonts w:ascii="Times New Roman"/>
          <w:b w:val="false"/>
          <w:i w:val="false"/>
          <w:color w:val="000000"/>
          <w:sz w:val="28"/>
        </w:rPr>
        <w:t xml:space="preserve">
      С 1 января 2019 года значения коэффициента приведения равно 8,3.»;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r>
        <w:br/>
      </w:r>
      <w:r>
        <w:rPr>
          <w:rFonts w:ascii="Times New Roman"/>
          <w:b w:val="false"/>
          <w:i w:val="false"/>
          <w:color w:val="000000"/>
          <w:sz w:val="28"/>
        </w:rPr>
        <w:t>
      С 1 января 2015 года значение коэффициента специфического риска равно 0,08.</w:t>
      </w:r>
      <w:r>
        <w:br/>
      </w:r>
      <w:r>
        <w:rPr>
          <w:rFonts w:ascii="Times New Roman"/>
          <w:b w:val="false"/>
          <w:i w:val="false"/>
          <w:color w:val="000000"/>
          <w:sz w:val="28"/>
        </w:rPr>
        <w:t>
      С 1 января 2016 года значение коэффициента специфического риска равно 0,08.</w:t>
      </w:r>
      <w:r>
        <w:br/>
      </w:r>
      <w:r>
        <w:rPr>
          <w:rFonts w:ascii="Times New Roman"/>
          <w:b w:val="false"/>
          <w:i w:val="false"/>
          <w:color w:val="000000"/>
          <w:sz w:val="28"/>
        </w:rPr>
        <w:t>
      С 1 января 2017 года значение коэффициента специфического риска равно 0,09.</w:t>
      </w:r>
      <w:r>
        <w:br/>
      </w:r>
      <w:r>
        <w:rPr>
          <w:rFonts w:ascii="Times New Roman"/>
          <w:b w:val="false"/>
          <w:i w:val="false"/>
          <w:color w:val="000000"/>
          <w:sz w:val="28"/>
        </w:rPr>
        <w:t>
      С 1 января 2018 года значение коэффициента специфического риска равно 0,10.</w:t>
      </w:r>
      <w:r>
        <w:br/>
      </w:r>
      <w:r>
        <w:rPr>
          <w:rFonts w:ascii="Times New Roman"/>
          <w:b w:val="false"/>
          <w:i w:val="false"/>
          <w:color w:val="000000"/>
          <w:sz w:val="28"/>
        </w:rPr>
        <w:t xml:space="preserve">
      С 1 января 2019 года значение коэффициента специфического риска равно 0,12. </w:t>
      </w:r>
      <w:r>
        <w:br/>
      </w:r>
      <w:r>
        <w:rPr>
          <w:rFonts w:ascii="Times New Roman"/>
          <w:b w:val="false"/>
          <w:i w:val="false"/>
          <w:color w:val="000000"/>
          <w:sz w:val="28"/>
        </w:rPr>
        <w:t>
      27.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r>
        <w:br/>
      </w:r>
      <w:r>
        <w:rPr>
          <w:rFonts w:ascii="Times New Roman"/>
          <w:b w:val="false"/>
          <w:i w:val="false"/>
          <w:color w:val="000000"/>
          <w:sz w:val="28"/>
        </w:rPr>
        <w:t>
      С 1 января 2015 года значение коэффициента общего риска равно 0,08</w:t>
      </w:r>
      <w:r>
        <w:br/>
      </w:r>
      <w:r>
        <w:rPr>
          <w:rFonts w:ascii="Times New Roman"/>
          <w:b w:val="false"/>
          <w:i w:val="false"/>
          <w:color w:val="000000"/>
          <w:sz w:val="28"/>
        </w:rPr>
        <w:t>
      С 1 января 2016 года значение коэффициента общего риска равно 0,08.</w:t>
      </w:r>
      <w:r>
        <w:br/>
      </w:r>
      <w:r>
        <w:rPr>
          <w:rFonts w:ascii="Times New Roman"/>
          <w:b w:val="false"/>
          <w:i w:val="false"/>
          <w:color w:val="000000"/>
          <w:sz w:val="28"/>
        </w:rPr>
        <w:t>
      С 1 января 2017 года значение коэффициента общего риска равно 0,09.</w:t>
      </w:r>
      <w:r>
        <w:br/>
      </w:r>
      <w:r>
        <w:rPr>
          <w:rFonts w:ascii="Times New Roman"/>
          <w:b w:val="false"/>
          <w:i w:val="false"/>
          <w:color w:val="000000"/>
          <w:sz w:val="28"/>
        </w:rPr>
        <w:t>
      С 1 января 2018 года значение коэффициента общего риска равно 0,10.</w:t>
      </w:r>
      <w:r>
        <w:br/>
      </w:r>
      <w:r>
        <w:rPr>
          <w:rFonts w:ascii="Times New Roman"/>
          <w:b w:val="false"/>
          <w:i w:val="false"/>
          <w:color w:val="000000"/>
          <w:sz w:val="28"/>
        </w:rPr>
        <w:t>
      С 1 января 2019 года значение коэффициента общего риска равно 0,12.</w:t>
      </w:r>
      <w:r>
        <w:br/>
      </w:r>
      <w:r>
        <w:rPr>
          <w:rFonts w:ascii="Times New Roman"/>
          <w:b w:val="false"/>
          <w:i w:val="false"/>
          <w:color w:val="000000"/>
          <w:sz w:val="28"/>
        </w:rPr>
        <w:t>
      28.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r>
        <w:br/>
      </w: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(длинных/коротких) позиций по драгоценным металлам (в абсолютном значении);</w:t>
      </w:r>
      <w:r>
        <w:br/>
      </w:r>
      <w:r>
        <w:rPr>
          <w:rFonts w:ascii="Times New Roman"/>
          <w:b w:val="false"/>
          <w:i w:val="false"/>
          <w:color w:val="000000"/>
          <w:sz w:val="28"/>
        </w:rPr>
        <w:t>
      открытых длинных позиций по каждой иностранной валюте (в абсолютном значении) и открытых (длинных/коротких) позиций по драгоценным металлам (в абсолютном значении).</w:t>
      </w:r>
      <w:r>
        <w:br/>
      </w:r>
      <w:r>
        <w:rPr>
          <w:rFonts w:ascii="Times New Roman"/>
          <w:b w:val="false"/>
          <w:i w:val="false"/>
          <w:color w:val="000000"/>
          <w:sz w:val="28"/>
        </w:rPr>
        <w:t>
      Открытая валютная позиция по каждой иностранной валюте рассчитывается в соответствии с пунктом 47 настоящей Инструкции.</w:t>
      </w:r>
      <w:r>
        <w:br/>
      </w:r>
      <w:r>
        <w:rPr>
          <w:rFonts w:ascii="Times New Roman"/>
          <w:b w:val="false"/>
          <w:i w:val="false"/>
          <w:color w:val="000000"/>
          <w:sz w:val="28"/>
        </w:rPr>
        <w:t>
      С 1 января 2015 года значение коэффициента валютного риска равно 0,08.</w:t>
      </w:r>
      <w:r>
        <w:br/>
      </w:r>
      <w:r>
        <w:rPr>
          <w:rFonts w:ascii="Times New Roman"/>
          <w:b w:val="false"/>
          <w:i w:val="false"/>
          <w:color w:val="000000"/>
          <w:sz w:val="28"/>
        </w:rPr>
        <w:t>
      С 1 января 2016 года значение коэффициента валютного риска равно 0,08.</w:t>
      </w:r>
      <w:r>
        <w:br/>
      </w:r>
      <w:r>
        <w:rPr>
          <w:rFonts w:ascii="Times New Roman"/>
          <w:b w:val="false"/>
          <w:i w:val="false"/>
          <w:color w:val="000000"/>
          <w:sz w:val="28"/>
        </w:rPr>
        <w:t>
      С 1 января 2017 года значение коэффициента валютного риска равно 0,09.</w:t>
      </w:r>
      <w:r>
        <w:br/>
      </w:r>
      <w:r>
        <w:rPr>
          <w:rFonts w:ascii="Times New Roman"/>
          <w:b w:val="false"/>
          <w:i w:val="false"/>
          <w:color w:val="000000"/>
          <w:sz w:val="28"/>
        </w:rPr>
        <w:t>
      С 1 января 2018 года значение коэффициента валютного риска равно 0,10.</w:t>
      </w:r>
      <w:r>
        <w:br/>
      </w:r>
      <w:r>
        <w:rPr>
          <w:rFonts w:ascii="Times New Roman"/>
          <w:b w:val="false"/>
          <w:i w:val="false"/>
          <w:color w:val="000000"/>
          <w:sz w:val="28"/>
        </w:rPr>
        <w:t>
      С 1 января 2019 года значение коэффициента валютного риска равно 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«31.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три года на коэффициент операционного риска, равного 0,075. </w:t>
      </w:r>
      <w:r>
        <w:br/>
      </w:r>
      <w:r>
        <w:rPr>
          <w:rFonts w:ascii="Times New Roman"/>
          <w:b w:val="false"/>
          <w:i w:val="false"/>
          <w:color w:val="000000"/>
          <w:sz w:val="28"/>
        </w:rPr>
        <w:t>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банком был получен чистый доход на количество лет, в которых банком был получен чистый доход.</w:t>
      </w:r>
      <w:r>
        <w:br/>
      </w: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Годовой валовый доход определяется как:</w:t>
      </w:r>
      <w:r>
        <w:br/>
      </w:r>
      <w:r>
        <w:rPr>
          <w:rFonts w:ascii="Times New Roman"/>
          <w:b w:val="false"/>
          <w:i w:val="false"/>
          <w:color w:val="000000"/>
          <w:sz w:val="28"/>
        </w:rPr>
        <w:t>
      сумма совокупного дохода, корпоративного подоходного налога, ассигнований на обеспечение;</w:t>
      </w:r>
      <w:r>
        <w:br/>
      </w:r>
      <w:r>
        <w:rPr>
          <w:rFonts w:ascii="Times New Roman"/>
          <w:b w:val="false"/>
          <w:i w:val="false"/>
          <w:color w:val="000000"/>
          <w:sz w:val="28"/>
        </w:rPr>
        <w:t>
      за минусом совокупных расходов, доходов от восстановления провизий (резервов).</w:t>
      </w:r>
      <w:r>
        <w:br/>
      </w: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получился положительный валовый доход.</w:t>
      </w:r>
      <w:r>
        <w:br/>
      </w:r>
      <w:r>
        <w:rPr>
          <w:rFonts w:ascii="Times New Roman"/>
          <w:b w:val="false"/>
          <w:i w:val="false"/>
          <w:color w:val="000000"/>
          <w:sz w:val="28"/>
        </w:rPr>
        <w:t>
      С 1 января 2015 года значения коэффициента приведения равно 12,5, коэффициента операционного риска 0,08.</w:t>
      </w:r>
      <w:r>
        <w:br/>
      </w:r>
      <w:r>
        <w:rPr>
          <w:rFonts w:ascii="Times New Roman"/>
          <w:b w:val="false"/>
          <w:i w:val="false"/>
          <w:color w:val="000000"/>
          <w:sz w:val="28"/>
        </w:rPr>
        <w:t>
      С 1 января 2016 года значения коэффициента приведения равно 12,5, коэффициента операционного риска 0,08.</w:t>
      </w:r>
      <w:r>
        <w:br/>
      </w:r>
      <w:r>
        <w:rPr>
          <w:rFonts w:ascii="Times New Roman"/>
          <w:b w:val="false"/>
          <w:i w:val="false"/>
          <w:color w:val="000000"/>
          <w:sz w:val="28"/>
        </w:rPr>
        <w:t>
      С 1 января 2017 года значения коэффициента приведения равно 11,1, коэффициента операционного риска 0,09.</w:t>
      </w:r>
      <w:r>
        <w:br/>
      </w:r>
      <w:r>
        <w:rPr>
          <w:rFonts w:ascii="Times New Roman"/>
          <w:b w:val="false"/>
          <w:i w:val="false"/>
          <w:color w:val="000000"/>
          <w:sz w:val="28"/>
        </w:rPr>
        <w:t xml:space="preserve">
      С 1 января 2018 года значения коэффициента приведения равно 10, коэффициента операционного риска 0,10. </w:t>
      </w:r>
      <w:r>
        <w:br/>
      </w:r>
      <w:r>
        <w:rPr>
          <w:rFonts w:ascii="Times New Roman"/>
          <w:b w:val="false"/>
          <w:i w:val="false"/>
          <w:color w:val="000000"/>
          <w:sz w:val="28"/>
        </w:rPr>
        <w:t>
      С 1 января 2019 года значения коэффициента приведения равно 8,3, коэффициента операционного риска 0,12.»;</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4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30.05.2016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2015 года, за исключением абзацев сто двадцать девятого и сто тридцатого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абзацев сто тринадцатого и сто четырнадцатого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строк, порядковые номера 83 и 84,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строк, порядковые номера 55 и 56 </w:t>
      </w:r>
      <w:r>
        <w:rPr>
          <w:rFonts w:ascii="Times New Roman"/>
          <w:b w:val="false"/>
          <w:i w:val="false"/>
          <w:color w:val="000000"/>
          <w:sz w:val="28"/>
        </w:rPr>
        <w:t>приложения 6</w:t>
      </w:r>
      <w:r>
        <w:rPr>
          <w:rFonts w:ascii="Times New Roman"/>
          <w:b w:val="false"/>
          <w:i w:val="false"/>
          <w:color w:val="000000"/>
          <w:sz w:val="28"/>
        </w:rPr>
        <w:t xml:space="preserve"> к настоящему постановлению,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Строки, порядковые номера 81 и 82,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и строки, порядковые номера 53 и 54, </w:t>
      </w:r>
      <w:r>
        <w:rPr>
          <w:rFonts w:ascii="Times New Roman"/>
          <w:b w:val="false"/>
          <w:i w:val="false"/>
          <w:color w:val="000000"/>
          <w:sz w:val="28"/>
        </w:rPr>
        <w:t>приложения 6</w:t>
      </w:r>
      <w:r>
        <w:rPr>
          <w:rFonts w:ascii="Times New Roman"/>
          <w:b w:val="false"/>
          <w:i w:val="false"/>
          <w:color w:val="000000"/>
          <w:sz w:val="28"/>
        </w:rPr>
        <w:t xml:space="preserve"> к настоящему постановлению действуют до 1 января 2016 года.</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27.08.2014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bookmarkStart w:name="z4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p>
      <w:pPr>
        <w:spacing w:after="0"/>
        <w:ind w:left="0"/>
        <w:jc w:val="both"/>
      </w:pPr>
      <w:r>
        <w:rPr>
          <w:rFonts w:ascii="Times New Roman"/>
          <w:b/>
          <w:i w:val="false"/>
          <w:color w:val="000000"/>
          <w:sz w:val="28"/>
        </w:rPr>
        <w:t>                           Таблица активов банка,</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 вложений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1"/>
        <w:gridCol w:w="268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тенге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Правительству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Национальному Банку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с суверенным рейтингом не ниже «АА-» агентства Standard&amp;Poor's или рейтингом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с долговым рейтингом не ниже «АА-» агентства Standard&amp;Poor's или рейтингом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с суверенным рейтингом не ниже «АА-» агентства Standard&amp;Poor's или рейтингом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с долговым рейтингом не ниже «АА-» агентства Standard&amp;Poor's или рейтингом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Правительства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по налогам и другим платежам в бюджет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выпущенные Правительством Республики Казахстан и Национальным Банком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акционерными обществами «Фонд национального благосостояния «Самрук-Казына», «Фонд проблемных кредитов»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 группу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ниже «АА-»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Республики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не ниже «АА-»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 «Казахстанская ипотечная компания»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во II группу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соответствующие условию: отношение суммы предоставленного ипотечного жилищного займа к стоимости залога не превышает 50% включительно от стоимости залога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до 60% включительно от стоимости залога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ипотечные жилищные займы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«ВВВ+» до «ВВВ-»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не ниже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от «А+» до «А-»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III группу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 до «В-» агентства Standard&amp;Poor's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долговой рейтинг от «ВВВ+» до «ВВ-»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физическим лицам, в том числе потребительские кредиты, за исключением отнесенных к III группе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 до «В-» агентства Standard&amp;Poor's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организациях-резидентах, имеющих долговой рейтинг ниже «А-» агентства Standard&amp;Poor's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организаций-резидентов, имеющих долговой рейтинг ниже «А-» агентства Standard&amp;Poor's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физических лиц</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 до «В-»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от «ВВВ+» до «ВВ-» агентства Standard&amp;Poor's или рейтинг аналогичного уровня одного из других рейтинговых агентств, и стран,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 до «В-» агентства Standard&amp;Poor's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организациями-резидентами, имеющими долговой рейтинг ниже «А-» агентства Standard&amp;Poor's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специальной финансовой компанией акционерного общества «Фонд стрессовых активов»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IV группу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запасы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суммы вознаграждения и расходов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инвестиций, составляющих менее 10 (десяти) процентов от выпущенных акций страховой организации, не превышающая 10 (десять) процентов от основного капитала банка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инвестиций, составляющих 10 (десять) и более процентов от выпущенных акций страховой организации, не превышающая 15 (пятнадцать) процентов от основного капитала банка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(десять) процентов основного капитала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(пятнадцать) процентов основного капитала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Лицензионное программное обеспечение, приобретенное для целей основной деятельности банка и соответствующее Международному стандарту финансовой отчетности 38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ниже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организациям-нерезидентам, имеющим долговой рейтинг ниже «ВВ-» агентства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имеющих долговой рейтинг ниже «ВВ-» агентства Standard&amp;Poor's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имеющих долговой рейтинг ниже «ВВ-» агентства Standard&amp;Poor's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центральными правительствами стран, имеющих суверенный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ниже «ВВ-»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ниже «В-» агентства Standard&amp;Poor's или рейтинг аналогичного уровня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имеющими долговой рейтинг ниже «ВВ-» агентства Standard&amp;Poor's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V группу риска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51" w:id="3"/>
    <w:p>
      <w:pPr>
        <w:spacing w:after="0"/>
        <w:ind w:left="0"/>
        <w:jc w:val="left"/>
      </w:pPr>
      <w:r>
        <w:rPr>
          <w:rFonts w:ascii="Times New Roman"/>
          <w:b/>
          <w:i w:val="false"/>
          <w:color w:val="000000"/>
        </w:rPr>
        <w:t xml:space="preserve"> 
Пояснения к расчету активов банка, подлежащих</w:t>
      </w:r>
      <w:r>
        <w:br/>
      </w:r>
      <w:r>
        <w:rPr>
          <w:rFonts w:ascii="Times New Roman"/>
          <w:b/>
          <w:i w:val="false"/>
          <w:color w:val="000000"/>
        </w:rPr>
        <w:t>
взвешиванию по степени риска вложений</w:t>
      </w:r>
    </w:p>
    <w:bookmarkEnd w:id="3"/>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1-3, 9-11, 14-17 Таблицы активов и обязательств, взвешенных по степени риска вложений), скорректированная стоимость которого составляет не менее 50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r>
        <w:br/>
      </w:r>
      <w:r>
        <w:rPr>
          <w:rFonts w:ascii="Times New Roman"/>
          <w:b w:val="false"/>
          <w:i w:val="false"/>
          <w:color w:val="000000"/>
          <w:sz w:val="28"/>
        </w:rPr>
        <w:t>
      Скорректированная стоимость обеспечения (в виде активов, указанных в строках 1-3, 9-11, 14-17 Таблицы активов и обязательств, взвешенных по степени риска вложений) равняется:</w:t>
      </w:r>
      <w:r>
        <w:br/>
      </w:r>
      <w:r>
        <w:rPr>
          <w:rFonts w:ascii="Times New Roman"/>
          <w:b w:val="false"/>
          <w:i w:val="false"/>
          <w:color w:val="000000"/>
          <w:sz w:val="28"/>
        </w:rPr>
        <w:t>
      100 процентам суммы вкладов, в том числе в данном банке, предоставленных в качестве обеспечения;</w:t>
      </w:r>
      <w:r>
        <w:br/>
      </w:r>
      <w:r>
        <w:rPr>
          <w:rFonts w:ascii="Times New Roman"/>
          <w:b w:val="false"/>
          <w:i w:val="false"/>
          <w:color w:val="000000"/>
          <w:sz w:val="28"/>
        </w:rPr>
        <w:t>
      95 процентам рыночной стоимости ценных бумаг, переданных в обеспечение;</w:t>
      </w:r>
      <w:r>
        <w:br/>
      </w:r>
      <w:r>
        <w:rPr>
          <w:rFonts w:ascii="Times New Roman"/>
          <w:b w:val="false"/>
          <w:i w:val="false"/>
          <w:color w:val="000000"/>
          <w:sz w:val="28"/>
        </w:rPr>
        <w:t>
      85 процентам рыночной стоимости аффинированных драгоценных металлов, переданных в обеспечение.</w:t>
      </w:r>
      <w:r>
        <w:br/>
      </w: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настоящей Таблице по степени риска, соответствующей вкладам, дебиторской задолженности, приобретенным ценным бумагам.</w:t>
      </w:r>
      <w:r>
        <w:br/>
      </w: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могут включаться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банка) по степени риска должника.</w:t>
      </w:r>
      <w:r>
        <w:br/>
      </w: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инвестиции, не включенных в расчет инвестиций банка, взвешивается по степени риска дебиторской задолженности соответствующего гаранта (страховщика).</w:t>
      </w:r>
      <w:r>
        <w:br/>
      </w: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процентов уставного капитала, или дочерними по отношению к юридическому лицу, зарегистрированному на территории оффшорной зоны;</w:t>
      </w:r>
      <w:r>
        <w:br/>
      </w:r>
      <w:r>
        <w:rPr>
          <w:rFonts w:ascii="Times New Roman"/>
          <w:b w:val="false"/>
          <w:i w:val="false"/>
          <w:color w:val="000000"/>
          <w:sz w:val="28"/>
        </w:rPr>
        <w:t>
      3) являющимся гражданами оффшорных зон,</w:t>
      </w:r>
      <w:r>
        <w:br/>
      </w:r>
      <w:r>
        <w:rPr>
          <w:rFonts w:ascii="Times New Roman"/>
          <w:b w:val="false"/>
          <w:i w:val="false"/>
          <w:color w:val="000000"/>
          <w:sz w:val="28"/>
        </w:rPr>
        <w:t>
      взвешиваются по степени риска согласно Таблице активов банка, взвешенных по степени риска вложений, независимо от наличия обеспечения, указанного в пункте 1 настоящих Пояснений.</w:t>
      </w:r>
      <w:r>
        <w:br/>
      </w: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процентов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процентов уставного капитала, либо дочерними по отношению к юридическим лицам, зарегистрированным на территории указанных оффшорных зон,</w:t>
      </w:r>
      <w:r>
        <w:br/>
      </w:r>
      <w:r>
        <w:rPr>
          <w:rFonts w:ascii="Times New Roman"/>
          <w:b w:val="false"/>
          <w:i w:val="false"/>
          <w:color w:val="000000"/>
          <w:sz w:val="28"/>
        </w:rPr>
        <w:t>
      взвешиваются по нулевой степени риска.</w:t>
      </w:r>
      <w:r>
        <w:br/>
      </w:r>
      <w:r>
        <w:rPr>
          <w:rFonts w:ascii="Times New Roman"/>
          <w:b w:val="false"/>
          <w:i w:val="false"/>
          <w:color w:val="000000"/>
          <w:sz w:val="28"/>
        </w:rPr>
        <w:t>
      5. Для целей расчета активов банка, взвешенных по степени риска вложений:</w:t>
      </w:r>
      <w:r>
        <w:br/>
      </w: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r>
        <w:br/>
      </w: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r>
        <w:br/>
      </w: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r>
        <w:br/>
      </w: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17 Инструкции,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Start w:name="z43"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4"/>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p>
      <w:pPr>
        <w:spacing w:after="0"/>
        <w:ind w:left="0"/>
        <w:jc w:val="both"/>
      </w:pPr>
      <w:r>
        <w:rPr>
          <w:rFonts w:ascii="Times New Roman"/>
          <w:b/>
          <w:i w:val="false"/>
          <w:color w:val="000000"/>
          <w:sz w:val="28"/>
        </w:rPr>
        <w:t>                        Критерии для классификации инструментов</w:t>
      </w:r>
      <w:r>
        <w:br/>
      </w:r>
      <w:r>
        <w:rPr>
          <w:rFonts w:ascii="Times New Roman"/>
          <w:b w:val="false"/>
          <w:i w:val="false"/>
          <w:color w:val="000000"/>
          <w:sz w:val="28"/>
        </w:rPr>
        <w:t>
</w:t>
      </w:r>
      <w:r>
        <w:rPr>
          <w:rFonts w:ascii="Times New Roman"/>
          <w:b/>
          <w:i w:val="false"/>
          <w:color w:val="000000"/>
          <w:sz w:val="28"/>
        </w:rPr>
        <w:t>                               в составе капитала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4123"/>
        <w:gridCol w:w="4338"/>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капитал</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Добавочный капитал</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r>
      <w:tr>
        <w:trPr>
          <w:trHeight w:val="9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ликвидации банка представляют собой требования, которые удовлетворяются в последнюю очередь;</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выпущены и оплачены;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выпущены и оплачены;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ликвидации имеют право требования остаточных активов пропорционально доле владения акциями, после удовлетворения приоритетных требований (имеют безлимитное и изменяющееся право требования, не фиксированное и ограниченное право требование);</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субординированы по отношению к депозиторам, основным кредиторам и субординированному долгу банка;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субординированы по отношению к депозиторам и основным кредиторам банка;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номинал является бессрочным и никогда не выплачивается вне ликвидации (отменяя дискреционные (по усмотрению) выкупы или другие способы снижения капитала дискреционным способом, предусмотренные законодательством Республики Казахстан);</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обеспечены, не покрыты гарантией эмитента или связанного лица или иной договоренностью, которые юридически или экономически повышают приоритетность выплаты иска против кредиторов банка;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обеспечены, не покрыты гарантией эмитента или связанного лица или иной договоренностью, которые юридически или экономически повышают приоритетность выплаты иска против вкладчиков и основных кредиторов банка;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банк при выпуске инструментов не создает каких-либо ожиданий обратного выкупа инструмента, его погашения или аннулирования, также как и не создают такого ожидания законодательные и договорные условия;</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являются бессрочными, отсутствуют условия повышения ставок по вознаграждению или повышения уровня дивидендов и отсутствуют побуждения к выкупу;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срок предоставления субординированного кредита (депозита, займа), срок погашения облигаций составляет не менее 5 лет;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выплата дивидендов осуществляется в соответствии с подлежащими распределению статьями (включая нераспределенную прибыль). Уровень выплат никак не связан с суммой, выплаченной при эмиссии, и для него не указан максимум (за исключением суммы в пределах той, которую банк не способен выплатить, поскольку она превышает сумму, подлежащую распределению по статьям.).</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отозваны по инициативе эмитента только по истечении минимум, пяти лет, при соблюдении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инструментов;</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признание в составе регуляторного капитала в последние пять лет срока обращения амортизируются прямолинейным методом;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отсутствуют условия, при которых выплата дивидендов является обязательной и невыплата дивидендов не является случаем дефолта;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любая выплата номинала (через выкуп или погашение) осуществляется с предварительного согласия уполномоченного органа;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отсутствуют условия повышения уровня выплат (купона) и отсутствуют побуждения к выкупу;</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выплата дивидендов осуществляется исключительно после выполнения всех договорных обязательств, а также произведения выплат по более приоритетным инструментам капитала, что означает отсутствие привилегированных дивидендов, в том числе и в отношении других элементов, классифицированных как капитал самого высокого качества;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у банка полного дискреционного права в любое время отменять выплату дивидендов, связанных с данным инструментом платежей;</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отозваны по инициативе эмитента только по истечении минимум, пяти лет, при соблюдении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инструментов;</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является капиталом, который занимает первую и пропорционально наибольшую долю при появлении убытков. В категории капитала с самым высоким уровнем качества, каждый инструмент абсорбирует убытки пропорционально на основе (позволяющей банку нести убытки, не прекращая свое функционирование и не попадая под ликвидацию или банкротство) и на равных условиях с другими инструментами;</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отмена выплаты дискреционных платежей не является случаем дефолта;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инвестор не имеет право ускорять выплаты будущих запланированных платежей (купона или номинала), за исключением случаев банкрота или ликвидации;</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оплаченная сумма признается как собственный капитал (не признается в качестве обязательства) для определения балансовой неплатежеспособности;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банки имеют полный доступ к отмененным платежам в целях исполнения обязательств по мере наступления их срока исполнения;</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или любое другое связанное лицо, через которое банк осуществляет контроль или существенно влияет на его деятельность, не приобретает инструмент, ровно, как и банк прямо или косвенно не осуществляет финансирование покупки инструмента.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оплаченная сумма классифицируется как капитал при определенных стандартах бухгалтерского учета;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отмена платежей не приводит к ограничениям банка, за исключением осуществления выплаты дивидендов основным акционерам;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полностью выпущены и оплачены, и банк не может прямо либо косвенно финансировать покупку инструмента;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инструменты, которые классифицированы как обязательства в целях бухгалтерского учета, имеют возможность поглощения убытков через номинал посредством конвертации в простые акции при заданном и заранее определенном триггере и/или механизма списания, который распределяет убытки в инструмент при заранее определенном триггере. Списание имеет следующие эффекты:</w:t>
            </w:r>
            <w:r>
              <w:br/>
            </w:r>
            <w:r>
              <w:rPr>
                <w:rFonts w:ascii="Times New Roman"/>
                <w:b w:val="false"/>
                <w:i w:val="false"/>
                <w:color w:val="000000"/>
                <w:sz w:val="20"/>
              </w:rPr>
              <w:t>
</w:t>
            </w:r>
            <w:r>
              <w:rPr>
                <w:rFonts w:ascii="Times New Roman"/>
                <w:b w:val="false"/>
                <w:i w:val="false"/>
                <w:color w:val="000000"/>
                <w:sz w:val="20"/>
              </w:rPr>
              <w:t>уменьшает права требования инструмента при ликвидации;</w:t>
            </w:r>
            <w:r>
              <w:br/>
            </w:r>
            <w:r>
              <w:rPr>
                <w:rFonts w:ascii="Times New Roman"/>
                <w:b w:val="false"/>
                <w:i w:val="false"/>
                <w:color w:val="000000"/>
                <w:sz w:val="20"/>
              </w:rPr>
              <w:t>
</w:t>
            </w:r>
            <w:r>
              <w:rPr>
                <w:rFonts w:ascii="Times New Roman"/>
                <w:b w:val="false"/>
                <w:i w:val="false"/>
                <w:color w:val="000000"/>
                <w:sz w:val="20"/>
              </w:rPr>
              <w:t>уменьшает суммы выплаты при осуществлении отзыва инструмента;</w:t>
            </w:r>
            <w:r>
              <w:br/>
            </w:r>
            <w:r>
              <w:rPr>
                <w:rFonts w:ascii="Times New Roman"/>
                <w:b w:val="false"/>
                <w:i w:val="false"/>
                <w:color w:val="000000"/>
                <w:sz w:val="20"/>
              </w:rPr>
              <w:t>
</w:t>
            </w:r>
            <w:r>
              <w:rPr>
                <w:rFonts w:ascii="Times New Roman"/>
                <w:b w:val="false"/>
                <w:i w:val="false"/>
                <w:color w:val="000000"/>
                <w:sz w:val="20"/>
              </w:rPr>
              <w:t>частично либо полностью уменьшает выплату дивидендов (купона) по инструменту.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сумма оплаты не обеспечена, не покрыта гарантией эмитента или лица, связанного с банком особыми отношениями, а также не является объектом других договоренностей, которые юридически или экономически увеличивают приоритетность требования;</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банк или любое другое связанное лицо, через которое банк осуществляет контроль или существенно влиять на его деятельность, не приобретает инструмент, ровно, как и банк прямо или косвенно не осуществляет финансирование покупки инструмента;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выпускается исключительно с согласия владельцев банка, либо предоставлен непосредственно владельцами или, если разрешено соответствующим законом, предоставлен Советом Директоров или другими лицами, должным образом уполномоченными представлять интересы владельцев;</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инструмент не имеет свойств, позволяющих препятствовать рекапитализации, таких как создание провизий для выплаты эмитентом компенсации инвесторам в случае выпуска нового инструмента по более низкой цене в течение определенного временного периода.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четко и раздельно раскрыты на балансе банка.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5"/>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p>
      <w:pPr>
        <w:spacing w:after="0"/>
        <w:ind w:left="0"/>
        <w:jc w:val="both"/>
      </w:pPr>
      <w:r>
        <w:rPr>
          <w:rFonts w:ascii="Times New Roman"/>
          <w:b/>
          <w:i w:val="false"/>
          <w:color w:val="000000"/>
          <w:sz w:val="28"/>
        </w:rPr>
        <w:t>                              Значения коэффициентов</w:t>
      </w:r>
      <w:r>
        <w:br/>
      </w:r>
      <w:r>
        <w:rPr>
          <w:rFonts w:ascii="Times New Roman"/>
          <w:b w:val="false"/>
          <w:i w:val="false"/>
          <w:color w:val="000000"/>
          <w:sz w:val="28"/>
        </w:rPr>
        <w:t>
</w:t>
      </w:r>
      <w:r>
        <w:rPr>
          <w:rFonts w:ascii="Times New Roman"/>
          <w:b/>
          <w:i w:val="false"/>
          <w:color w:val="000000"/>
          <w:sz w:val="28"/>
        </w:rPr>
        <w:t>                              достаточности капитала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5"/>
        <w:gridCol w:w="1764"/>
        <w:gridCol w:w="1764"/>
        <w:gridCol w:w="1565"/>
        <w:gridCol w:w="1565"/>
        <w:gridCol w:w="1987"/>
      </w:tblGrid>
      <w:tr>
        <w:trPr>
          <w:trHeight w:val="61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2018 года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2019 года</w:t>
            </w:r>
          </w:p>
        </w:tc>
      </w:tr>
      <w:tr>
        <w:trPr>
          <w:trHeight w:val="61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6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Значения коэффициентов</w:t>
      </w:r>
      <w:r>
        <w:br/>
      </w:r>
      <w:r>
        <w:rPr>
          <w:rFonts w:ascii="Times New Roman"/>
          <w:b w:val="false"/>
          <w:i w:val="false"/>
          <w:color w:val="000000"/>
          <w:sz w:val="28"/>
        </w:rPr>
        <w:t>
</w:t>
      </w:r>
      <w:r>
        <w:rPr>
          <w:rFonts w:ascii="Times New Roman"/>
          <w:b/>
          <w:i w:val="false"/>
          <w:color w:val="000000"/>
          <w:sz w:val="28"/>
        </w:rPr>
        <w:t>                         достаточности капитала с учетом</w:t>
      </w:r>
      <w:r>
        <w:br/>
      </w:r>
      <w:r>
        <w:rPr>
          <w:rFonts w:ascii="Times New Roman"/>
          <w:b w:val="false"/>
          <w:i w:val="false"/>
          <w:color w:val="000000"/>
          <w:sz w:val="28"/>
        </w:rPr>
        <w:t>
</w:t>
      </w:r>
      <w:r>
        <w:rPr>
          <w:rFonts w:ascii="Times New Roman"/>
          <w:b/>
          <w:i w:val="false"/>
          <w:color w:val="000000"/>
          <w:sz w:val="28"/>
        </w:rPr>
        <w:t>                    консервационного буфера и системного буфера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1779"/>
        <w:gridCol w:w="1779"/>
        <w:gridCol w:w="1578"/>
        <w:gridCol w:w="1892"/>
        <w:gridCol w:w="1445"/>
      </w:tblGrid>
      <w:tr>
        <w:trPr>
          <w:trHeight w:val="43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2018 года</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2019 года</w:t>
            </w:r>
          </w:p>
        </w:tc>
      </w:tr>
      <w:tr>
        <w:trPr>
          <w:trHeight w:val="43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для системообразующих банков (k1)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9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для системообразующих банков (k1-2)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для системообразующих банков (k2)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три года.».</w:t>
      </w:r>
    </w:p>
    <w:bookmarkStart w:name="z45"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6"/>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p>
      <w:pPr>
        <w:spacing w:after="0"/>
        <w:ind w:left="0"/>
        <w:jc w:val="both"/>
      </w:pPr>
      <w:r>
        <w:rPr>
          <w:rFonts w:ascii="Times New Roman"/>
          <w:b/>
          <w:i w:val="false"/>
          <w:color w:val="000000"/>
          <w:sz w:val="28"/>
        </w:rPr>
        <w:t>                        Минимальный размер ограничения</w:t>
      </w:r>
      <w:r>
        <w:br/>
      </w:r>
      <w:r>
        <w:rPr>
          <w:rFonts w:ascii="Times New Roman"/>
          <w:b w:val="false"/>
          <w:i w:val="false"/>
          <w:color w:val="000000"/>
          <w:sz w:val="28"/>
        </w:rPr>
        <w:t>
</w:t>
      </w:r>
      <w:r>
        <w:rPr>
          <w:rFonts w:ascii="Times New Roman"/>
          <w:b/>
          <w:i w:val="false"/>
          <w:color w:val="000000"/>
          <w:sz w:val="28"/>
        </w:rPr>
        <w:t>                       нераспределенного чистого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5994"/>
      </w:tblGrid>
      <w:tr>
        <w:trPr>
          <w:trHeight w:val="22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превышения минимальных значений k1, k1-2 и/или k2 в процентах от необходимого размера буфера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уровень нераспределенного чистого дохода, подлежащий ограничению (в процентах)</w:t>
            </w:r>
          </w:p>
        </w:tc>
      </w:tr>
      <w:tr>
        <w:trPr>
          <w:trHeight w:val="27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Start w:name="z46"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7"/>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p>
      <w:pPr>
        <w:spacing w:after="0"/>
        <w:ind w:left="0"/>
        <w:jc w:val="both"/>
      </w:pPr>
      <w:r>
        <w:rPr>
          <w:rFonts w:ascii="Times New Roman"/>
          <w:b/>
          <w:i w:val="false"/>
          <w:color w:val="000000"/>
          <w:sz w:val="28"/>
        </w:rPr>
        <w:t>                            Сведения о расчете коэффициентов</w:t>
      </w:r>
      <w:r>
        <w:br/>
      </w:r>
      <w:r>
        <w:rPr>
          <w:rFonts w:ascii="Times New Roman"/>
          <w:b w:val="false"/>
          <w:i w:val="false"/>
          <w:color w:val="000000"/>
          <w:sz w:val="28"/>
        </w:rPr>
        <w:t>
</w:t>
      </w:r>
      <w:r>
        <w:rPr>
          <w:rFonts w:ascii="Times New Roman"/>
          <w:b/>
          <w:i w:val="false"/>
          <w:color w:val="000000"/>
          <w:sz w:val="28"/>
        </w:rPr>
        <w:t>                           достаточности собственного капитала</w:t>
      </w:r>
    </w:p>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6057"/>
        <w:gridCol w:w="3250"/>
        <w:gridCol w:w="2807"/>
      </w:tblGrid>
      <w:tr>
        <w:trPr>
          <w:trHeight w:val="8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на последнюю отчетную дату, предшествующую осуществлению сделки секьюритизации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после осуществления сделки секьюритизации</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первого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капитал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Добавочный капитал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основного капитала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добавочного капитала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капитала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одного из других рейтинговых агентств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взвешенные с учетом кредитного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и возможные обязательства, взвешенные с учетом кредитного риска, в том числе: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 взвешенные с учетом кредитного риска, в том числе: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специфичного процентного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общего процентного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рыночный риск, связанный с изменением ставки вознаграждения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специфичного риска, связанного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общего риска, связанного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рыночный риск, связанный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рыночного риска, связанного с изменением обменного курса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 и условные и возможные требования и обязательства, рассчитанные с учетом рыночного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операционного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 ___________________</w:t>
      </w:r>
      <w:r>
        <w:br/>
      </w:r>
      <w:r>
        <w:rPr>
          <w:rFonts w:ascii="Times New Roman"/>
          <w:b w:val="false"/>
          <w:i w:val="false"/>
          <w:color w:val="000000"/>
          <w:sz w:val="28"/>
        </w:rPr>
        <w:t>
                           (фамилия и имя)        (подпись)</w:t>
      </w:r>
    </w:p>
    <w:p>
      <w:pPr>
        <w:spacing w:after="0"/>
        <w:ind w:left="0"/>
        <w:jc w:val="both"/>
      </w:pPr>
      <w:r>
        <w:rPr>
          <w:rFonts w:ascii="Times New Roman"/>
          <w:b w:val="false"/>
          <w:i w:val="false"/>
          <w:color w:val="000000"/>
          <w:sz w:val="28"/>
        </w:rPr>
        <w:t>       Главный бухгалтер: _______________________ ______________</w:t>
      </w:r>
      <w:r>
        <w:br/>
      </w:r>
      <w:r>
        <w:rPr>
          <w:rFonts w:ascii="Times New Roman"/>
          <w:b w:val="false"/>
          <w:i w:val="false"/>
          <w:color w:val="000000"/>
          <w:sz w:val="28"/>
        </w:rPr>
        <w:t>
                            (фамилия и имя)       (подпись)</w:t>
      </w:r>
    </w:p>
    <w:p>
      <w:pPr>
        <w:spacing w:after="0"/>
        <w:ind w:left="0"/>
        <w:jc w:val="both"/>
      </w:pPr>
      <w:r>
        <w:rPr>
          <w:rFonts w:ascii="Times New Roman"/>
          <w:b w:val="false"/>
          <w:i w:val="false"/>
          <w:color w:val="000000"/>
          <w:sz w:val="28"/>
        </w:rPr>
        <w:t>       Исполнитель: ______________________________ 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«___» ___________ 201__ года</w:t>
      </w:r>
      <w:r>
        <w:br/>
      </w:r>
      <w:r>
        <w:rPr>
          <w:rFonts w:ascii="Times New Roman"/>
          <w:b w:val="false"/>
          <w:i w:val="false"/>
          <w:color w:val="000000"/>
          <w:sz w:val="28"/>
        </w:rPr>
        <w:t>
       Печать.».</w:t>
      </w:r>
    </w:p>
    <w:bookmarkStart w:name="z47"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8"/>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9"/>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10"/>
    <w:p>
      <w:pPr>
        <w:spacing w:after="0"/>
        <w:ind w:left="0"/>
        <w:jc w:val="both"/>
      </w:pPr>
      <w:r>
        <w:rPr>
          <w:rFonts w:ascii="Times New Roman"/>
          <w:b w:val="false"/>
          <w:i w:val="false"/>
          <w:color w:val="ff0000"/>
          <w:sz w:val="28"/>
        </w:rPr>
        <w:t xml:space="preserve">      Сноска. Приложение 8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1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2014 года № 97</w:t>
      </w:r>
    </w:p>
    <w:bookmarkEnd w:id="11"/>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