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7def" w14:textId="3197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экологических нормативов и экологических требований по хозяйственной и иной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13 октября 2014 года № 57. Зарегистрирован в Министерстве юстиции Республики Казахстан 16 октября 2014 года № 9805. Утратил силу приказом и.о. Министра экологии и природных ресурсов Республики Казахстан от 27 апреля 2023 года № 135.</w:t>
      </w:r>
    </w:p>
    <w:p>
      <w:pPr>
        <w:spacing w:after="0"/>
        <w:ind w:left="0"/>
        <w:jc w:val="both"/>
      </w:pPr>
      <w:r>
        <w:rPr>
          <w:rFonts w:ascii="Times New Roman"/>
          <w:b w:val="false"/>
          <w:i w:val="false"/>
          <w:color w:val="ff0000"/>
          <w:sz w:val="28"/>
        </w:rPr>
        <w:t xml:space="preserve">
      Сноска. Утратил силу приказом и.о. Министра экологии и природных ресурсов РК от 27.04.2023 </w:t>
      </w:r>
      <w:r>
        <w:rPr>
          <w:rFonts w:ascii="Times New Roman"/>
          <w:b w:val="false"/>
          <w:i w:val="false"/>
          <w:color w:val="ff0000"/>
          <w:sz w:val="28"/>
        </w:rPr>
        <w:t>№ 135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экологические нормативы и экологические требования по хозяйственной и иной деятельности:</w:t>
      </w:r>
    </w:p>
    <w:bookmarkEnd w:id="1"/>
    <w:p>
      <w:pPr>
        <w:spacing w:after="0"/>
        <w:ind w:left="0"/>
        <w:jc w:val="both"/>
      </w:pPr>
      <w:r>
        <w:rPr>
          <w:rFonts w:ascii="Times New Roman"/>
          <w:b w:val="false"/>
          <w:i w:val="false"/>
          <w:color w:val="000000"/>
          <w:sz w:val="28"/>
        </w:rPr>
        <w:t xml:space="preserve">
      1) связанной с культурно-бытовым водопользованием на водных объектах Щучинско-Боровской курортной зоны и работами по очистке природных водоемов в целях их сохранения и восстановления,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связанной с подземным захоронением отходов,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энергетики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(Шаханов Б.М.)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октября 2014 года № 57 </w:t>
            </w:r>
          </w:p>
        </w:tc>
      </w:tr>
    </w:tbl>
    <w:bookmarkStart w:name="z7" w:id="5"/>
    <w:p>
      <w:pPr>
        <w:spacing w:after="0"/>
        <w:ind w:left="0"/>
        <w:jc w:val="left"/>
      </w:pPr>
      <w:r>
        <w:rPr>
          <w:rFonts w:ascii="Times New Roman"/>
          <w:b/>
          <w:i w:val="false"/>
          <w:color w:val="000000"/>
        </w:rPr>
        <w:t xml:space="preserve"> Экологические нормативы и экологические требования по</w:t>
      </w:r>
      <w:r>
        <w:br/>
      </w:r>
      <w:r>
        <w:rPr>
          <w:rFonts w:ascii="Times New Roman"/>
          <w:b/>
          <w:i w:val="false"/>
          <w:color w:val="000000"/>
        </w:rPr>
        <w:t>хозяйственной и иной деятельности, связанной с</w:t>
      </w:r>
      <w:r>
        <w:br/>
      </w:r>
      <w:r>
        <w:rPr>
          <w:rFonts w:ascii="Times New Roman"/>
          <w:b/>
          <w:i w:val="false"/>
          <w:color w:val="000000"/>
        </w:rPr>
        <w:t>культурно-бытовым водопользованием на водных объектах</w:t>
      </w:r>
      <w:r>
        <w:br/>
      </w:r>
      <w:r>
        <w:rPr>
          <w:rFonts w:ascii="Times New Roman"/>
          <w:b/>
          <w:i w:val="false"/>
          <w:color w:val="000000"/>
        </w:rPr>
        <w:t>Щучинско-Боровской курортной зоны и работами по очистке</w:t>
      </w:r>
      <w:r>
        <w:br/>
      </w:r>
      <w:r>
        <w:rPr>
          <w:rFonts w:ascii="Times New Roman"/>
          <w:b/>
          <w:i w:val="false"/>
          <w:color w:val="000000"/>
        </w:rPr>
        <w:t>природных водоемов в целях их сохранения и восстановления</w:t>
      </w:r>
    </w:p>
    <w:bookmarkEnd w:id="5"/>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06.01.2016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экологические нормативы и экологические требования по хозяйственной и иной деятельности, связанной с культурно-бытовым водопользованием на водных объектах Щучинско-Боровской курортной зоны и работами по очистке природных водоемов в целях их сохранения и восстановления (далее - Требования) устанавливают нормативы и требования к хозяйственной и иной деятельности, связанной с культурно-бытовым водопользованием на водных объектах Щучинско-Боровской курортной зоны и работами по очистке природных водоемов в целях их сохранения и восстановления.</w:t>
      </w:r>
    </w:p>
    <w:bookmarkEnd w:id="7"/>
    <w:bookmarkStart w:name="z10" w:id="8"/>
    <w:p>
      <w:pPr>
        <w:spacing w:after="0"/>
        <w:ind w:left="0"/>
        <w:jc w:val="both"/>
      </w:pPr>
      <w:r>
        <w:rPr>
          <w:rFonts w:ascii="Times New Roman"/>
          <w:b w:val="false"/>
          <w:i w:val="false"/>
          <w:color w:val="000000"/>
          <w:sz w:val="28"/>
        </w:rPr>
        <w:t>
      2. Требования учитываются при проектировании и выполнении работ по очистке природных водоемов в целях их сохранения и восстановления.</w:t>
      </w:r>
    </w:p>
    <w:bookmarkEnd w:id="8"/>
    <w:bookmarkStart w:name="z11" w:id="9"/>
    <w:p>
      <w:pPr>
        <w:spacing w:after="0"/>
        <w:ind w:left="0"/>
        <w:jc w:val="both"/>
      </w:pPr>
      <w:r>
        <w:rPr>
          <w:rFonts w:ascii="Times New Roman"/>
          <w:b w:val="false"/>
          <w:i w:val="false"/>
          <w:color w:val="000000"/>
          <w:sz w:val="28"/>
        </w:rPr>
        <w:t>
      3. Хозяйственная и иная деятельность, связанная с культурно-бытовым водопользованием на водных объектах, осуществляется с минимальным антропогенным воздействием на баланс экосистемы водных объектов, состав и свойства воды.</w:t>
      </w:r>
    </w:p>
    <w:bookmarkEnd w:id="9"/>
    <w:bookmarkStart w:name="z12" w:id="10"/>
    <w:p>
      <w:pPr>
        <w:spacing w:after="0"/>
        <w:ind w:left="0"/>
        <w:jc w:val="both"/>
      </w:pPr>
      <w:r>
        <w:rPr>
          <w:rFonts w:ascii="Times New Roman"/>
          <w:b w:val="false"/>
          <w:i w:val="false"/>
          <w:color w:val="000000"/>
          <w:sz w:val="28"/>
        </w:rPr>
        <w:t xml:space="preserve">
      4. Состав и свойства воды в водоемах, предназначенных для отдыха населения, а также водоемы в черте населенных мест принимаются согласно Санитарным правилам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16 марта 2015 года № 209 (зарегистрированный в Реестре государственной регистрации нормативных правовых актов Республики Казахстан № 10774).</w:t>
      </w:r>
    </w:p>
    <w:bookmarkEnd w:id="10"/>
    <w:bookmarkStart w:name="z13" w:id="11"/>
    <w:p>
      <w:pPr>
        <w:spacing w:after="0"/>
        <w:ind w:left="0"/>
        <w:jc w:val="both"/>
      </w:pPr>
      <w:r>
        <w:rPr>
          <w:rFonts w:ascii="Times New Roman"/>
          <w:b w:val="false"/>
          <w:i w:val="false"/>
          <w:color w:val="000000"/>
          <w:sz w:val="28"/>
        </w:rPr>
        <w:t>
      5. В целях поддержания благоприятного водного режима поверхностных водоемов, предупреждения их от заиления и зарастания, водной эрозии почв, ухудшения условий обитания водных животных и птиц, уменьшения колебаний стока, проводятся мероприятия по механической и биологической очистке и санации водоемов.</w:t>
      </w:r>
    </w:p>
    <w:bookmarkEnd w:id="11"/>
    <w:bookmarkStart w:name="z14" w:id="12"/>
    <w:p>
      <w:pPr>
        <w:spacing w:after="0"/>
        <w:ind w:left="0"/>
        <w:jc w:val="both"/>
      </w:pPr>
      <w:r>
        <w:rPr>
          <w:rFonts w:ascii="Times New Roman"/>
          <w:b w:val="false"/>
          <w:i w:val="false"/>
          <w:color w:val="000000"/>
          <w:sz w:val="28"/>
        </w:rPr>
        <w:t>
      6. При наличии оснований, указывающих на возрастание антропогенного воздействия негативно влияющего на баланс экосистемы природных водоемов, принимаются меры по поддержке и восстановлению баланса экосистемы водоемов.</w:t>
      </w:r>
    </w:p>
    <w:bookmarkEnd w:id="12"/>
    <w:bookmarkStart w:name="z15" w:id="13"/>
    <w:p>
      <w:pPr>
        <w:spacing w:after="0"/>
        <w:ind w:left="0"/>
        <w:jc w:val="both"/>
      </w:pPr>
      <w:r>
        <w:rPr>
          <w:rFonts w:ascii="Times New Roman"/>
          <w:b w:val="false"/>
          <w:i w:val="false"/>
          <w:color w:val="000000"/>
          <w:sz w:val="28"/>
        </w:rPr>
        <w:t>
      7. Основаниями для принятия мер по поддержке и восстановлению баланса экосистемы водоемов являются изменение состава и свойств воды в водоемах, заиление и зарастание, водная эрозия почв, ухудшение условий обитания водных животных и птиц, увеличение колебаний стока.</w:t>
      </w:r>
    </w:p>
    <w:bookmarkEnd w:id="13"/>
    <w:bookmarkStart w:name="z16" w:id="14"/>
    <w:p>
      <w:pPr>
        <w:spacing w:after="0"/>
        <w:ind w:left="0"/>
        <w:jc w:val="left"/>
      </w:pPr>
      <w:r>
        <w:rPr>
          <w:rFonts w:ascii="Times New Roman"/>
          <w:b/>
          <w:i w:val="false"/>
          <w:color w:val="000000"/>
        </w:rPr>
        <w:t xml:space="preserve"> 2. Требования и нормативы по очистке водоемов</w:t>
      </w:r>
    </w:p>
    <w:bookmarkEnd w:id="14"/>
    <w:bookmarkStart w:name="z17" w:id="15"/>
    <w:p>
      <w:pPr>
        <w:spacing w:after="0"/>
        <w:ind w:left="0"/>
        <w:jc w:val="both"/>
      </w:pPr>
      <w:r>
        <w:rPr>
          <w:rFonts w:ascii="Times New Roman"/>
          <w:b w:val="false"/>
          <w:i w:val="false"/>
          <w:color w:val="000000"/>
          <w:sz w:val="28"/>
        </w:rPr>
        <w:t>
      8. Обработка полученных донных отложений, производится через вибрирующее сито в резервуар гомогенизации. Вибрационное сито, использованное для захвата грубого мусора, и размер сети, изменяется в зависимости от размера исходных частиц распределенного ила.</w:t>
      </w:r>
    </w:p>
    <w:bookmarkEnd w:id="15"/>
    <w:p>
      <w:pPr>
        <w:spacing w:after="0"/>
        <w:ind w:left="0"/>
        <w:jc w:val="both"/>
      </w:pPr>
      <w:r>
        <w:rPr>
          <w:rFonts w:ascii="Times New Roman"/>
          <w:b w:val="false"/>
          <w:i w:val="false"/>
          <w:color w:val="000000"/>
          <w:sz w:val="28"/>
        </w:rPr>
        <w:t>
      После отделения грубых примесей, шлам поступает в 3 (три) гомогенизационных резервуара, каждый с объемом в 80 м</w:t>
      </w:r>
      <w:r>
        <w:rPr>
          <w:rFonts w:ascii="Times New Roman"/>
          <w:b w:val="false"/>
          <w:i w:val="false"/>
          <w:color w:val="000000"/>
          <w:vertAlign w:val="superscript"/>
        </w:rPr>
        <w:t>3</w:t>
      </w:r>
      <w:r>
        <w:rPr>
          <w:rFonts w:ascii="Times New Roman"/>
          <w:b w:val="false"/>
          <w:i w:val="false"/>
          <w:color w:val="000000"/>
          <w:sz w:val="28"/>
        </w:rPr>
        <w:t xml:space="preserve"> х. В каждом гомогенизационном резервуаре установлены 3 (три) единицы погружных систем. Объем резервуара гомогенизации больше, чем мощность одного часа обработки объекта (дренаж) донных отложений (шлама) в дренажных устройствах.</w:t>
      </w:r>
    </w:p>
    <w:p>
      <w:pPr>
        <w:spacing w:after="0"/>
        <w:ind w:left="0"/>
        <w:jc w:val="both"/>
      </w:pPr>
      <w:r>
        <w:rPr>
          <w:rFonts w:ascii="Times New Roman"/>
          <w:b w:val="false"/>
          <w:i w:val="false"/>
          <w:color w:val="000000"/>
          <w:sz w:val="28"/>
        </w:rPr>
        <w:t>
      Гомогенизационный бак с использованием винтовых насосов для дозирования суспензии закачивается в центрифуги Flottweg Z92 подвески донных отложений. Максимальная производительность насоса составляет до 100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- 70-140 м</w:t>
      </w:r>
      <w:r>
        <w:rPr>
          <w:rFonts w:ascii="Times New Roman"/>
          <w:b w:val="false"/>
          <w:i w:val="false"/>
          <w:color w:val="000000"/>
          <w:vertAlign w:val="superscript"/>
        </w:rPr>
        <w:t>3</w:t>
      </w:r>
      <w:r>
        <w:rPr>
          <w:rFonts w:ascii="Times New Roman"/>
          <w:b w:val="false"/>
          <w:i w:val="false"/>
          <w:color w:val="000000"/>
          <w:sz w:val="28"/>
        </w:rPr>
        <w:t>/час-1, в зависимости от концентрации твердых веществ отложений в перекачиваемой суспензии. Шлам суспензию прокачивают через смесительное устройство в дренажное устройство - центрифуга Flottweg Z92.</w:t>
      </w:r>
    </w:p>
    <w:p>
      <w:pPr>
        <w:spacing w:after="0"/>
        <w:ind w:left="0"/>
        <w:jc w:val="both"/>
      </w:pPr>
      <w:r>
        <w:rPr>
          <w:rFonts w:ascii="Times New Roman"/>
          <w:b w:val="false"/>
          <w:i w:val="false"/>
          <w:color w:val="000000"/>
          <w:sz w:val="28"/>
        </w:rPr>
        <w:t>
      Подключение различных устройств к электроэнергии обеспечивается от главного распределительного щита.</w:t>
      </w:r>
    </w:p>
    <w:p>
      <w:pPr>
        <w:spacing w:after="0"/>
        <w:ind w:left="0"/>
        <w:jc w:val="both"/>
      </w:pPr>
      <w:r>
        <w:rPr>
          <w:rFonts w:ascii="Times New Roman"/>
          <w:b w:val="false"/>
          <w:i w:val="false"/>
          <w:color w:val="000000"/>
          <w:sz w:val="28"/>
        </w:rPr>
        <w:t>
      Состав отложений и воды входит на вибрационные сита, где на ситах с отверстиями в 2 мм будут отделяться большие части из отложений.</w:t>
      </w:r>
    </w:p>
    <w:p>
      <w:pPr>
        <w:spacing w:after="0"/>
        <w:ind w:left="0"/>
        <w:jc w:val="both"/>
      </w:pPr>
      <w:r>
        <w:rPr>
          <w:rFonts w:ascii="Times New Roman"/>
          <w:b w:val="false"/>
          <w:i w:val="false"/>
          <w:color w:val="000000"/>
          <w:sz w:val="28"/>
        </w:rPr>
        <w:t>
      Основные параметры вибросит:</w:t>
      </w:r>
    </w:p>
    <w:p>
      <w:pPr>
        <w:spacing w:after="0"/>
        <w:ind w:left="0"/>
        <w:jc w:val="both"/>
      </w:pPr>
      <w:r>
        <w:rPr>
          <w:rFonts w:ascii="Times New Roman"/>
          <w:b w:val="false"/>
          <w:i w:val="false"/>
          <w:color w:val="000000"/>
          <w:sz w:val="28"/>
        </w:rPr>
        <w:t>
      1) типовое обозначение машины GAMA 120.300 1;</w:t>
      </w:r>
    </w:p>
    <w:p>
      <w:pPr>
        <w:spacing w:after="0"/>
        <w:ind w:left="0"/>
        <w:jc w:val="both"/>
      </w:pPr>
      <w:r>
        <w:rPr>
          <w:rFonts w:ascii="Times New Roman"/>
          <w:b w:val="false"/>
          <w:i w:val="false"/>
          <w:color w:val="000000"/>
          <w:sz w:val="28"/>
        </w:rPr>
        <w:t>
      2) максимальное количество воды 150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максимальная крепкая доля 2-20 %;</w:t>
      </w:r>
    </w:p>
    <w:p>
      <w:pPr>
        <w:spacing w:after="0"/>
        <w:ind w:left="0"/>
        <w:jc w:val="both"/>
      </w:pPr>
      <w:r>
        <w:rPr>
          <w:rFonts w:ascii="Times New Roman"/>
          <w:b w:val="false"/>
          <w:i w:val="false"/>
          <w:color w:val="000000"/>
          <w:sz w:val="28"/>
        </w:rPr>
        <w:t>
      4) длина сортировочной поверхности 3 000 мм;</w:t>
      </w:r>
    </w:p>
    <w:p>
      <w:pPr>
        <w:spacing w:after="0"/>
        <w:ind w:left="0"/>
        <w:jc w:val="both"/>
      </w:pPr>
      <w:r>
        <w:rPr>
          <w:rFonts w:ascii="Times New Roman"/>
          <w:b w:val="false"/>
          <w:i w:val="false"/>
          <w:color w:val="000000"/>
          <w:sz w:val="28"/>
        </w:rPr>
        <w:t>
      5) общая длина сепаратора 3821 мм;</w:t>
      </w:r>
    </w:p>
    <w:p>
      <w:pPr>
        <w:spacing w:after="0"/>
        <w:ind w:left="0"/>
        <w:jc w:val="both"/>
      </w:pPr>
      <w:r>
        <w:rPr>
          <w:rFonts w:ascii="Times New Roman"/>
          <w:b w:val="false"/>
          <w:i w:val="false"/>
          <w:color w:val="000000"/>
          <w:sz w:val="28"/>
        </w:rPr>
        <w:t>
      6) ширина сортировочной поверхности 1200 мм;</w:t>
      </w:r>
    </w:p>
    <w:p>
      <w:pPr>
        <w:spacing w:after="0"/>
        <w:ind w:left="0"/>
        <w:jc w:val="both"/>
      </w:pPr>
      <w:r>
        <w:rPr>
          <w:rFonts w:ascii="Times New Roman"/>
          <w:b w:val="false"/>
          <w:i w:val="false"/>
          <w:color w:val="000000"/>
          <w:sz w:val="28"/>
        </w:rPr>
        <w:t>
      7) вибратор два NA56;</w:t>
      </w:r>
    </w:p>
    <w:p>
      <w:pPr>
        <w:spacing w:after="0"/>
        <w:ind w:left="0"/>
        <w:jc w:val="both"/>
      </w:pPr>
      <w:r>
        <w:rPr>
          <w:rFonts w:ascii="Times New Roman"/>
          <w:b w:val="false"/>
          <w:i w:val="false"/>
          <w:color w:val="000000"/>
          <w:sz w:val="28"/>
        </w:rPr>
        <w:t>
      8) напряжение и частота сети 3х 400 В/50 Гц;</w:t>
      </w:r>
    </w:p>
    <w:p>
      <w:pPr>
        <w:spacing w:after="0"/>
        <w:ind w:left="0"/>
        <w:jc w:val="both"/>
      </w:pPr>
      <w:r>
        <w:rPr>
          <w:rFonts w:ascii="Times New Roman"/>
          <w:b w:val="false"/>
          <w:i w:val="false"/>
          <w:color w:val="000000"/>
          <w:sz w:val="28"/>
        </w:rPr>
        <w:t>
      9) номинальная потребляемая мощность 2.7 кВт;</w:t>
      </w:r>
    </w:p>
    <w:p>
      <w:pPr>
        <w:spacing w:after="0"/>
        <w:ind w:left="0"/>
        <w:jc w:val="both"/>
      </w:pPr>
      <w:r>
        <w:rPr>
          <w:rFonts w:ascii="Times New Roman"/>
          <w:b w:val="false"/>
          <w:i w:val="false"/>
          <w:color w:val="000000"/>
          <w:sz w:val="28"/>
        </w:rPr>
        <w:t>
      10) рабочая частота 16 Гц;</w:t>
      </w:r>
    </w:p>
    <w:p>
      <w:pPr>
        <w:spacing w:after="0"/>
        <w:ind w:left="0"/>
        <w:jc w:val="both"/>
      </w:pPr>
      <w:r>
        <w:rPr>
          <w:rFonts w:ascii="Times New Roman"/>
          <w:b w:val="false"/>
          <w:i w:val="false"/>
          <w:color w:val="000000"/>
          <w:sz w:val="28"/>
        </w:rPr>
        <w:t>
      11) вибрирующая масса 740 кг;</w:t>
      </w:r>
    </w:p>
    <w:p>
      <w:pPr>
        <w:spacing w:after="0"/>
        <w:ind w:left="0"/>
        <w:jc w:val="both"/>
      </w:pPr>
      <w:r>
        <w:rPr>
          <w:rFonts w:ascii="Times New Roman"/>
          <w:b w:val="false"/>
          <w:i w:val="false"/>
          <w:color w:val="000000"/>
          <w:sz w:val="28"/>
        </w:rPr>
        <w:t>
      12) общая масса 754 кг;</w:t>
      </w:r>
    </w:p>
    <w:p>
      <w:pPr>
        <w:spacing w:after="0"/>
        <w:ind w:left="0"/>
        <w:jc w:val="both"/>
      </w:pPr>
      <w:r>
        <w:rPr>
          <w:rFonts w:ascii="Times New Roman"/>
          <w:b w:val="false"/>
          <w:i w:val="false"/>
          <w:color w:val="000000"/>
          <w:sz w:val="28"/>
        </w:rPr>
        <w:t>
      13) статистическая нагрузка под одной передней опорой 2038 Н;</w:t>
      </w:r>
    </w:p>
    <w:p>
      <w:pPr>
        <w:spacing w:after="0"/>
        <w:ind w:left="0"/>
        <w:jc w:val="both"/>
      </w:pPr>
      <w:r>
        <w:rPr>
          <w:rFonts w:ascii="Times New Roman"/>
          <w:b w:val="false"/>
          <w:i w:val="false"/>
          <w:color w:val="000000"/>
          <w:sz w:val="28"/>
        </w:rPr>
        <w:t>
      14) статистическая нагрузка под одной задней опорой 1592 Н;</w:t>
      </w:r>
    </w:p>
    <w:p>
      <w:pPr>
        <w:spacing w:after="0"/>
        <w:ind w:left="0"/>
        <w:jc w:val="both"/>
      </w:pPr>
      <w:r>
        <w:rPr>
          <w:rFonts w:ascii="Times New Roman"/>
          <w:b w:val="false"/>
          <w:i w:val="false"/>
          <w:color w:val="000000"/>
          <w:sz w:val="28"/>
        </w:rPr>
        <w:t xml:space="preserve">
      15) вертикальное динамическое воздействие под 1 опорой </w:t>
      </w:r>
      <w:r>
        <w:rPr>
          <w:rFonts w:ascii="Times New Roman"/>
          <w:b w:val="false"/>
          <w:i w:val="false"/>
          <w:color w:val="000000"/>
          <w:sz w:val="28"/>
          <w:u w:val="single"/>
        </w:rPr>
        <w:t>+</w:t>
      </w:r>
      <w:r>
        <w:rPr>
          <w:rFonts w:ascii="Times New Roman"/>
          <w:b w:val="false"/>
          <w:i w:val="false"/>
          <w:color w:val="000000"/>
          <w:sz w:val="28"/>
        </w:rPr>
        <w:t>801 Н;</w:t>
      </w:r>
    </w:p>
    <w:p>
      <w:pPr>
        <w:spacing w:after="0"/>
        <w:ind w:left="0"/>
        <w:jc w:val="both"/>
      </w:pPr>
      <w:r>
        <w:rPr>
          <w:rFonts w:ascii="Times New Roman"/>
          <w:b w:val="false"/>
          <w:i w:val="false"/>
          <w:color w:val="000000"/>
          <w:sz w:val="28"/>
        </w:rPr>
        <w:t xml:space="preserve">
      16) горизонт, динамическое воздействие под 1 опорой </w:t>
      </w:r>
      <w:r>
        <w:rPr>
          <w:rFonts w:ascii="Times New Roman"/>
          <w:b w:val="false"/>
          <w:i w:val="false"/>
          <w:color w:val="000000"/>
          <w:sz w:val="28"/>
          <w:u w:val="single"/>
        </w:rPr>
        <w:t>+</w:t>
      </w:r>
      <w:r>
        <w:rPr>
          <w:rFonts w:ascii="Times New Roman"/>
          <w:b w:val="false"/>
          <w:i w:val="false"/>
          <w:color w:val="000000"/>
          <w:sz w:val="28"/>
        </w:rPr>
        <w:t>9541 Н;</w:t>
      </w:r>
    </w:p>
    <w:p>
      <w:pPr>
        <w:spacing w:after="0"/>
        <w:ind w:left="0"/>
        <w:jc w:val="both"/>
      </w:pPr>
      <w:r>
        <w:rPr>
          <w:rFonts w:ascii="Times New Roman"/>
          <w:b w:val="false"/>
          <w:i w:val="false"/>
          <w:color w:val="000000"/>
          <w:sz w:val="28"/>
        </w:rPr>
        <w:t>
      17) настройка колебания (неравновесия) 80 %.</w:t>
      </w:r>
    </w:p>
    <w:p>
      <w:pPr>
        <w:spacing w:after="0"/>
        <w:ind w:left="0"/>
        <w:jc w:val="both"/>
      </w:pPr>
      <w:r>
        <w:rPr>
          <w:rFonts w:ascii="Times New Roman"/>
          <w:b w:val="false"/>
          <w:i w:val="false"/>
          <w:color w:val="000000"/>
          <w:sz w:val="28"/>
        </w:rPr>
        <w:t>
      Отложения, очищенные от крупных фракций, переходят в аккумуляционные и гомогенизационные баки. Емкость аккумуляционных баков (3 х 700 м</w:t>
      </w:r>
      <w:r>
        <w:rPr>
          <w:rFonts w:ascii="Times New Roman"/>
          <w:b w:val="false"/>
          <w:i w:val="false"/>
          <w:color w:val="000000"/>
          <w:vertAlign w:val="superscript"/>
        </w:rPr>
        <w:t>3</w:t>
      </w:r>
      <w:r>
        <w:rPr>
          <w:rFonts w:ascii="Times New Roman"/>
          <w:b w:val="false"/>
          <w:i w:val="false"/>
          <w:color w:val="000000"/>
          <w:sz w:val="28"/>
        </w:rPr>
        <w:t>) гарантирует функциональность линии в круглосуточном режиме работы, также в случае, если ночью (22:00 - 06:00) земснаряд не будет работать. Из гомогенизационных баков смесь перекачивается через насосный контейнер в декантеры - 3 шт. FLOTTWEG Z-92. Перед вводом в декантер в смесь добавляется необходимое количество флокулянта (2-3 кг/тонна сухого вещества). Флокулянт приготовляется в станциях флокулянта для рабочей концентрации 0,5%. Приготовление флокулянта, его созревание и дозировка в трубы в автоматическом режиме управляется системой DEWASYS. Вода для приготовления флокулянта собирается из озера автоматической водонапорной станцией.</w:t>
      </w:r>
    </w:p>
    <w:p>
      <w:pPr>
        <w:spacing w:after="0"/>
        <w:ind w:left="0"/>
        <w:jc w:val="both"/>
      </w:pPr>
      <w:r>
        <w:rPr>
          <w:rFonts w:ascii="Times New Roman"/>
          <w:b w:val="false"/>
          <w:i w:val="false"/>
          <w:color w:val="000000"/>
          <w:sz w:val="28"/>
        </w:rPr>
        <w:t>
      Для подготовки рабочей концентрации используются две штуки полимерных станций DESET РS-12. Мобильная полимерная станция DESET РS-12 произведена из качественной нержавеющей стали. Система DESET РS-12 доступна в качестве автоматической и полуавтоматической и двух размерах.</w:t>
      </w:r>
    </w:p>
    <w:bookmarkStart w:name="z18" w:id="16"/>
    <w:p>
      <w:pPr>
        <w:spacing w:after="0"/>
        <w:ind w:left="0"/>
        <w:jc w:val="both"/>
      </w:pPr>
      <w:r>
        <w:rPr>
          <w:rFonts w:ascii="Times New Roman"/>
          <w:b w:val="false"/>
          <w:i w:val="false"/>
          <w:color w:val="000000"/>
          <w:sz w:val="28"/>
        </w:rPr>
        <w:t>
      9. Полуавтоматическая система состоит из трех соединенных резервуаров с непрерывным процессом подготовки, вылеживания и (хранения) откачки. Система лучше всего подходит для малых и средних предприятий. Автоматическая система, работающая в циклах от 45 до 60 минут, состоит из резервуара для смешивания, двух резервуаров для вылеживания. Система способна работать в непрерывном режиме. Все процессы контролирует собственная специальная система DEWASYS.</w:t>
      </w:r>
    </w:p>
    <w:bookmarkEnd w:id="16"/>
    <w:p>
      <w:pPr>
        <w:spacing w:after="0"/>
        <w:ind w:left="0"/>
        <w:jc w:val="both"/>
      </w:pPr>
      <w:r>
        <w:rPr>
          <w:rFonts w:ascii="Times New Roman"/>
          <w:b w:val="false"/>
          <w:i w:val="false"/>
          <w:color w:val="000000"/>
          <w:sz w:val="28"/>
        </w:rPr>
        <w:t>
      Установка подходит для легкого перехода от одного полимера к другому. Каждая установка оборудована вакуумным питателем, миксером для размешивания порошка, насосами, измерителями расхода, поплавковыми уровнемерами.</w:t>
      </w:r>
    </w:p>
    <w:p>
      <w:pPr>
        <w:spacing w:after="0"/>
        <w:ind w:left="0"/>
        <w:jc w:val="both"/>
      </w:pPr>
      <w:r>
        <w:rPr>
          <w:rFonts w:ascii="Times New Roman"/>
          <w:b w:val="false"/>
          <w:i w:val="false"/>
          <w:color w:val="000000"/>
          <w:sz w:val="28"/>
        </w:rPr>
        <w:t>
      Deset PS-12:</w:t>
      </w:r>
    </w:p>
    <w:p>
      <w:pPr>
        <w:spacing w:after="0"/>
        <w:ind w:left="0"/>
        <w:jc w:val="both"/>
      </w:pPr>
      <w:r>
        <w:rPr>
          <w:rFonts w:ascii="Times New Roman"/>
          <w:b w:val="false"/>
          <w:i w:val="false"/>
          <w:color w:val="000000"/>
          <w:sz w:val="28"/>
        </w:rPr>
        <w:t>
      1) производительность раствора - 10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2) концентрация раствора - 0,1-0,4%;</w:t>
      </w:r>
    </w:p>
    <w:p>
      <w:pPr>
        <w:spacing w:after="0"/>
        <w:ind w:left="0"/>
        <w:jc w:val="both"/>
      </w:pPr>
      <w:r>
        <w:rPr>
          <w:rFonts w:ascii="Times New Roman"/>
          <w:b w:val="false"/>
          <w:i w:val="false"/>
          <w:color w:val="000000"/>
          <w:sz w:val="28"/>
        </w:rPr>
        <w:t>
      3) вакуумный питатель - 125 кг;</w:t>
      </w:r>
    </w:p>
    <w:p>
      <w:pPr>
        <w:spacing w:after="0"/>
        <w:ind w:left="0"/>
        <w:jc w:val="both"/>
      </w:pPr>
      <w:r>
        <w:rPr>
          <w:rFonts w:ascii="Times New Roman"/>
          <w:b w:val="false"/>
          <w:i w:val="false"/>
          <w:color w:val="000000"/>
          <w:sz w:val="28"/>
        </w:rPr>
        <w:t>
      4) винтовой насос для эмульсии - 2И4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5) резервуар разделен в 3 части, общая емкость - 22 000 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установленная мощность - 33,52 кВт;</w:t>
      </w:r>
    </w:p>
    <w:p>
      <w:pPr>
        <w:spacing w:after="0"/>
        <w:ind w:left="0"/>
        <w:jc w:val="both"/>
      </w:pPr>
      <w:r>
        <w:rPr>
          <w:rFonts w:ascii="Times New Roman"/>
          <w:b w:val="false"/>
          <w:i w:val="false"/>
          <w:color w:val="000000"/>
          <w:sz w:val="28"/>
        </w:rPr>
        <w:t>
      7) объем воды под давлением - 30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8) габаритные размеры - 40 "резервуар 12 191 х 2 438 х 2 591 мм.</w:t>
      </w:r>
    </w:p>
    <w:p>
      <w:pPr>
        <w:spacing w:after="0"/>
        <w:ind w:left="0"/>
        <w:jc w:val="both"/>
      </w:pPr>
      <w:r>
        <w:rPr>
          <w:rFonts w:ascii="Times New Roman"/>
          <w:b w:val="false"/>
          <w:i w:val="false"/>
          <w:color w:val="000000"/>
          <w:sz w:val="28"/>
        </w:rPr>
        <w:t>
      Из декантеров Z-92 обезвоженные отложения падают на систему конвейеров, которая транспортирует отложения на временную свалку.</w:t>
      </w:r>
    </w:p>
    <w:p>
      <w:pPr>
        <w:spacing w:after="0"/>
        <w:ind w:left="0"/>
        <w:jc w:val="both"/>
      </w:pPr>
      <w:r>
        <w:rPr>
          <w:rFonts w:ascii="Times New Roman"/>
          <w:b w:val="false"/>
          <w:i w:val="false"/>
          <w:color w:val="000000"/>
          <w:sz w:val="28"/>
        </w:rPr>
        <w:t>
      Фильтрат (фугат) из декантеров вытекает в водный бак с насосом. В автоматическом режиме, управляемой системой DEWASYS, вода откачивается назад в озеро.</w:t>
      </w:r>
    </w:p>
    <w:p>
      <w:pPr>
        <w:spacing w:after="0"/>
        <w:ind w:left="0"/>
        <w:jc w:val="both"/>
      </w:pPr>
      <w:r>
        <w:rPr>
          <w:rFonts w:ascii="Times New Roman"/>
          <w:b w:val="false"/>
          <w:i w:val="false"/>
          <w:color w:val="000000"/>
          <w:sz w:val="28"/>
        </w:rPr>
        <w:t>
      Электроэнергия для технологической линии производится в дизельных электростанциях.</w:t>
      </w:r>
    </w:p>
    <w:p>
      <w:pPr>
        <w:spacing w:after="0"/>
        <w:ind w:left="0"/>
        <w:jc w:val="both"/>
      </w:pPr>
      <w:r>
        <w:rPr>
          <w:rFonts w:ascii="Times New Roman"/>
          <w:b w:val="false"/>
          <w:i w:val="false"/>
          <w:color w:val="000000"/>
          <w:sz w:val="28"/>
        </w:rPr>
        <w:t>
      Почти вся технология осуществляется транзитными грузовыми автомобилями с одним контейнером по 40 футов (12,19 x 2,45 м) или двумя контейнерами по 20 футов (6,06 x 2,45 метров). Выгрузка к месту установки осуществляется кранами с соответствующей грузоподъемностью.</w:t>
      </w:r>
    </w:p>
    <w:p>
      <w:pPr>
        <w:spacing w:after="0"/>
        <w:ind w:left="0"/>
        <w:jc w:val="both"/>
      </w:pPr>
      <w:r>
        <w:rPr>
          <w:rFonts w:ascii="Times New Roman"/>
          <w:b w:val="false"/>
          <w:i w:val="false"/>
          <w:color w:val="000000"/>
          <w:sz w:val="28"/>
        </w:rPr>
        <w:t>
      Трубопроводы доставляются к месту осуществления работ транзитными грузовыми автомобилями. Трубопроводы разделены по 12 метров сегментами, зафиксированными в деревянной конструкции. Выгрузка из грузовиков при помощи кранов осуществляется в месте как можно ближе к воде. Кольца складываются в группы и упаковываются пленкой. Выгрузка осуществляется при помощи кранов в месте максимально близком к воде.</w:t>
      </w:r>
    </w:p>
    <w:p>
      <w:pPr>
        <w:spacing w:after="0"/>
        <w:ind w:left="0"/>
        <w:jc w:val="both"/>
      </w:pPr>
      <w:r>
        <w:rPr>
          <w:rFonts w:ascii="Times New Roman"/>
          <w:b w:val="false"/>
          <w:i w:val="false"/>
          <w:color w:val="000000"/>
          <w:sz w:val="28"/>
        </w:rPr>
        <w:t>
      Топливо для дизельных электростанций доставляется высокообъемными нефтяными цистернами (10 или 20 м</w:t>
      </w:r>
      <w:r>
        <w:rPr>
          <w:rFonts w:ascii="Times New Roman"/>
          <w:b w:val="false"/>
          <w:i w:val="false"/>
          <w:color w:val="000000"/>
          <w:vertAlign w:val="superscript"/>
        </w:rPr>
        <w:t>3</w:t>
      </w:r>
      <w:r>
        <w:rPr>
          <w:rFonts w:ascii="Times New Roman"/>
          <w:b w:val="false"/>
          <w:i w:val="false"/>
          <w:color w:val="000000"/>
          <w:sz w:val="28"/>
        </w:rPr>
        <w:t>). Топливо сворачивается в надземный сертифицированный резервуар, емкость которого превышает минимально доставляемое количество на 30%. Место слива для аварийных случаев обеспечивается структурно по типу утечки нефтепродуктов в окружающую среду (сборный бак для аварийной утечки).</w:t>
      </w:r>
    </w:p>
    <w:p>
      <w:pPr>
        <w:spacing w:after="0"/>
        <w:ind w:left="0"/>
        <w:jc w:val="both"/>
      </w:pPr>
      <w:r>
        <w:rPr>
          <w:rFonts w:ascii="Times New Roman"/>
          <w:b w:val="false"/>
          <w:i w:val="false"/>
          <w:color w:val="000000"/>
          <w:sz w:val="28"/>
        </w:rPr>
        <w:t>
      Флокулянты в порошковом виде доставляются упакованными в мешках по 25 кг, по 25 мешков на паллете (625 кг/паллето). Флокулянты доставляются на транзитных грузовых автомобилях с 30 паллетами (18 тонн). Паллеты выгружаются мини-погрузчиком, который имеет постоянный персонал к распоряжению. Паллеты хранятся в открытом помещении.</w:t>
      </w:r>
    </w:p>
    <w:p>
      <w:pPr>
        <w:spacing w:after="0"/>
        <w:ind w:left="0"/>
        <w:jc w:val="both"/>
      </w:pPr>
      <w:r>
        <w:rPr>
          <w:rFonts w:ascii="Times New Roman"/>
          <w:b w:val="false"/>
          <w:i w:val="false"/>
          <w:color w:val="000000"/>
          <w:sz w:val="28"/>
        </w:rPr>
        <w:t>
      Запасные части для оборудования доставляются путем дорожной транспортировки через временную дорогу. Технический и обслуживающий персонал транспортируется легковыми автомобилями.</w:t>
      </w:r>
    </w:p>
    <w:bookmarkStart w:name="z19" w:id="17"/>
    <w:p>
      <w:pPr>
        <w:spacing w:after="0"/>
        <w:ind w:left="0"/>
        <w:jc w:val="both"/>
      </w:pPr>
      <w:r>
        <w:rPr>
          <w:rFonts w:ascii="Times New Roman"/>
          <w:b w:val="false"/>
          <w:i w:val="false"/>
          <w:color w:val="000000"/>
          <w:sz w:val="28"/>
        </w:rPr>
        <w:t>
      10. Краткое содержание работ: обработка ила через вибрирующее сито в резервуар гомогенизации, приготовление и добавление флокулянта, прокачка шлама суспензии в дренажное устройство, обезвоживание, транспортировка обезвоженного ила, откачка очищенной воды обратно в водоем.</w:t>
      </w:r>
    </w:p>
    <w:bookmarkEnd w:id="17"/>
    <w:p>
      <w:pPr>
        <w:spacing w:after="0"/>
        <w:ind w:left="0"/>
        <w:jc w:val="both"/>
      </w:pPr>
      <w:r>
        <w:rPr>
          <w:rFonts w:ascii="Times New Roman"/>
          <w:b w:val="false"/>
          <w:i w:val="false"/>
          <w:color w:val="000000"/>
          <w:sz w:val="28"/>
        </w:rPr>
        <w:t>
      При расходах на обезвоживание ила в водоемах объемом отложений от 500 до 1000,0 тысяч м</w:t>
      </w:r>
      <w:r>
        <w:rPr>
          <w:rFonts w:ascii="Times New Roman"/>
          <w:b w:val="false"/>
          <w:i w:val="false"/>
          <w:color w:val="000000"/>
          <w:vertAlign w:val="superscript"/>
        </w:rPr>
        <w:t>3</w:t>
      </w:r>
      <w:r>
        <w:rPr>
          <w:rFonts w:ascii="Times New Roman"/>
          <w:b w:val="false"/>
          <w:i w:val="false"/>
          <w:color w:val="000000"/>
          <w:sz w:val="28"/>
        </w:rPr>
        <w:t xml:space="preserve"> х с содержанием сухих отложений от 15 до 20% и сроком продолжительности работ от 150 до 300 календарных дней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По результатам работ проводятся лабораторные анализы, их аналитическая обработка с включением результатов лабораторных анализов в сводные таблицы, а также составляется пояснительная записка.</w:t>
      </w:r>
    </w:p>
    <w:p>
      <w:pPr>
        <w:spacing w:after="0"/>
        <w:ind w:left="0"/>
        <w:jc w:val="both"/>
      </w:pPr>
      <w:r>
        <w:rPr>
          <w:rFonts w:ascii="Times New Roman"/>
          <w:b w:val="false"/>
          <w:i w:val="false"/>
          <w:color w:val="000000"/>
          <w:sz w:val="28"/>
        </w:rPr>
        <w:t>
      Конечный результат: сухой остаток.</w:t>
      </w:r>
    </w:p>
    <w:p>
      <w:pPr>
        <w:spacing w:after="0"/>
        <w:ind w:left="0"/>
        <w:jc w:val="both"/>
      </w:pPr>
      <w:r>
        <w:rPr>
          <w:rFonts w:ascii="Times New Roman"/>
          <w:b w:val="false"/>
          <w:i w:val="false"/>
          <w:color w:val="000000"/>
          <w:sz w:val="28"/>
        </w:rPr>
        <w:t>
      Единица измерения: 1м</w:t>
      </w:r>
      <w:r>
        <w:rPr>
          <w:rFonts w:ascii="Times New Roman"/>
          <w:b w:val="false"/>
          <w:i w:val="false"/>
          <w:color w:val="000000"/>
          <w:vertAlign w:val="superscript"/>
        </w:rPr>
        <w:t>3</w:t>
      </w:r>
      <w:r>
        <w:rPr>
          <w:rFonts w:ascii="Times New Roman"/>
          <w:b w:val="false"/>
          <w:i w:val="false"/>
          <w:color w:val="000000"/>
          <w:sz w:val="28"/>
        </w:rPr>
        <w:t xml:space="preserve"> гидросмеси.</w:t>
      </w:r>
    </w:p>
    <w:bookmarkStart w:name="z20" w:id="18"/>
    <w:p>
      <w:pPr>
        <w:spacing w:after="0"/>
        <w:ind w:left="0"/>
        <w:jc w:val="both"/>
      </w:pPr>
      <w:r>
        <w:rPr>
          <w:rFonts w:ascii="Times New Roman"/>
          <w:b w:val="false"/>
          <w:i w:val="false"/>
          <w:color w:val="000000"/>
          <w:sz w:val="28"/>
        </w:rPr>
        <w:t>
      11. Технология обезвоживания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20 до 40% и сроком продолжительности работ от 150 до 300 календарных дней.</w:t>
      </w:r>
    </w:p>
    <w:bookmarkEnd w:id="18"/>
    <w:p>
      <w:pPr>
        <w:spacing w:after="0"/>
        <w:ind w:left="0"/>
        <w:jc w:val="both"/>
      </w:pPr>
      <w:r>
        <w:rPr>
          <w:rFonts w:ascii="Times New Roman"/>
          <w:b w:val="false"/>
          <w:i w:val="false"/>
          <w:color w:val="000000"/>
          <w:sz w:val="28"/>
        </w:rPr>
        <w:t>
      Обработка полученных донных отложений подается через вибрирующее сито в резервуар гомогенизации. Вибрационное сито, использованное для захвата грубого мусора, и размер сети изменяется в зависимости от размера исходных частиц распределенного ила.</w:t>
      </w:r>
    </w:p>
    <w:p>
      <w:pPr>
        <w:spacing w:after="0"/>
        <w:ind w:left="0"/>
        <w:jc w:val="both"/>
      </w:pPr>
      <w:r>
        <w:rPr>
          <w:rFonts w:ascii="Times New Roman"/>
          <w:b w:val="false"/>
          <w:i w:val="false"/>
          <w:color w:val="000000"/>
          <w:sz w:val="28"/>
        </w:rPr>
        <w:t>
      После отделения грубых примесей, шлам поступает в два резервуара гомогенизации, каждый резервуар имеет объем 80 м</w:t>
      </w:r>
      <w:r>
        <w:rPr>
          <w:rFonts w:ascii="Times New Roman"/>
          <w:b w:val="false"/>
          <w:i w:val="false"/>
          <w:color w:val="000000"/>
          <w:vertAlign w:val="superscript"/>
        </w:rPr>
        <w:t>3</w:t>
      </w:r>
      <w:r>
        <w:rPr>
          <w:rFonts w:ascii="Times New Roman"/>
          <w:b w:val="false"/>
          <w:i w:val="false"/>
          <w:color w:val="000000"/>
          <w:sz w:val="28"/>
        </w:rPr>
        <w:t>. В каждом гомогенизационном баке установлены 3 (три) единицы погружных систем. Объем резервуара гомогенизации больше, чем мощность одного часа обработки объекта (дренаж) донных отложений (шлама) в дренажных устройствах.</w:t>
      </w:r>
    </w:p>
    <w:p>
      <w:pPr>
        <w:spacing w:after="0"/>
        <w:ind w:left="0"/>
        <w:jc w:val="both"/>
      </w:pPr>
      <w:r>
        <w:rPr>
          <w:rFonts w:ascii="Times New Roman"/>
          <w:b w:val="false"/>
          <w:i w:val="false"/>
          <w:color w:val="000000"/>
          <w:sz w:val="28"/>
        </w:rPr>
        <w:t xml:space="preserve">
      Гомогенизационный бак с использованием винтовых насосов для дозирования суспензии закачивается в центрифугах подвески донных отложений. Максимальная производительность насоса составляет до </w:t>
      </w:r>
    </w:p>
    <w:p>
      <w:pPr>
        <w:spacing w:after="0"/>
        <w:ind w:left="0"/>
        <w:jc w:val="both"/>
      </w:pPr>
      <w:r>
        <w:rPr>
          <w:rFonts w:ascii="Times New Roman"/>
          <w:b w:val="false"/>
          <w:i w:val="false"/>
          <w:color w:val="000000"/>
          <w:sz w:val="28"/>
        </w:rPr>
        <w:t>
      100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50-90 м</w:t>
      </w:r>
      <w:r>
        <w:rPr>
          <w:rFonts w:ascii="Times New Roman"/>
          <w:b w:val="false"/>
          <w:i w:val="false"/>
          <w:color w:val="000000"/>
          <w:vertAlign w:val="superscript"/>
        </w:rPr>
        <w:t>3</w:t>
      </w:r>
      <w:r>
        <w:rPr>
          <w:rFonts w:ascii="Times New Roman"/>
          <w:b w:val="false"/>
          <w:i w:val="false"/>
          <w:color w:val="000000"/>
          <w:sz w:val="28"/>
        </w:rPr>
        <w:t>/ч, в зависимости от концентрации твердых веществ отложений в перекачиваемой суспензии. Шлам суспензию прокачивают через смесительное устройство в дренажное устройство - центрифуга Flottweg Z73.</w:t>
      </w:r>
    </w:p>
    <w:p>
      <w:pPr>
        <w:spacing w:after="0"/>
        <w:ind w:left="0"/>
        <w:jc w:val="both"/>
      </w:pPr>
      <w:r>
        <w:rPr>
          <w:rFonts w:ascii="Times New Roman"/>
          <w:b w:val="false"/>
          <w:i w:val="false"/>
          <w:color w:val="000000"/>
          <w:sz w:val="28"/>
        </w:rPr>
        <w:t>
      В смесительном устройстве, установленном на трубе подачи для отвода подвески, устройство добавляется к раствору флокулянта. Подключение различных устройств к электроэнергии обеспечивается от главного распределительного щита, который будет приведен в связь при СО 02 временного соединения НН.</w:t>
      </w:r>
    </w:p>
    <w:p>
      <w:pPr>
        <w:spacing w:after="0"/>
        <w:ind w:left="0"/>
        <w:jc w:val="both"/>
      </w:pPr>
      <w:r>
        <w:rPr>
          <w:rFonts w:ascii="Times New Roman"/>
          <w:b w:val="false"/>
          <w:i w:val="false"/>
          <w:color w:val="000000"/>
          <w:sz w:val="28"/>
        </w:rPr>
        <w:t>
      Состав отложений и воды входит на вибрационные сита. Здесь на ситах с отверстиями 2 мм будут отделяться большие части из отложений.</w:t>
      </w:r>
    </w:p>
    <w:p>
      <w:pPr>
        <w:spacing w:after="0"/>
        <w:ind w:left="0"/>
        <w:jc w:val="both"/>
      </w:pPr>
      <w:r>
        <w:rPr>
          <w:rFonts w:ascii="Times New Roman"/>
          <w:b w:val="false"/>
          <w:i w:val="false"/>
          <w:color w:val="000000"/>
          <w:sz w:val="28"/>
        </w:rPr>
        <w:t>
      Основные параметры вибросит:</w:t>
      </w:r>
    </w:p>
    <w:p>
      <w:pPr>
        <w:spacing w:after="0"/>
        <w:ind w:left="0"/>
        <w:jc w:val="both"/>
      </w:pPr>
      <w:r>
        <w:rPr>
          <w:rFonts w:ascii="Times New Roman"/>
          <w:b w:val="false"/>
          <w:i w:val="false"/>
          <w:color w:val="000000"/>
          <w:sz w:val="28"/>
        </w:rPr>
        <w:t>
      1) типовое обозначение машины - GAMA 120.300 1;</w:t>
      </w:r>
    </w:p>
    <w:p>
      <w:pPr>
        <w:spacing w:after="0"/>
        <w:ind w:left="0"/>
        <w:jc w:val="both"/>
      </w:pPr>
      <w:r>
        <w:rPr>
          <w:rFonts w:ascii="Times New Roman"/>
          <w:b w:val="false"/>
          <w:i w:val="false"/>
          <w:color w:val="000000"/>
          <w:sz w:val="28"/>
        </w:rPr>
        <w:t>
      2) максимальное количество воды - 250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максимальная крепкая доля - 2 - 20 %;</w:t>
      </w:r>
    </w:p>
    <w:p>
      <w:pPr>
        <w:spacing w:after="0"/>
        <w:ind w:left="0"/>
        <w:jc w:val="both"/>
      </w:pPr>
      <w:r>
        <w:rPr>
          <w:rFonts w:ascii="Times New Roman"/>
          <w:b w:val="false"/>
          <w:i w:val="false"/>
          <w:color w:val="000000"/>
          <w:sz w:val="28"/>
        </w:rPr>
        <w:t>
      4) длина сортировочной поверхности - 3 000 мм;</w:t>
      </w:r>
    </w:p>
    <w:p>
      <w:pPr>
        <w:spacing w:after="0"/>
        <w:ind w:left="0"/>
        <w:jc w:val="both"/>
      </w:pPr>
      <w:r>
        <w:rPr>
          <w:rFonts w:ascii="Times New Roman"/>
          <w:b w:val="false"/>
          <w:i w:val="false"/>
          <w:color w:val="000000"/>
          <w:sz w:val="28"/>
        </w:rPr>
        <w:t>
      5) общая длина сепаратора - 3 821 мм;</w:t>
      </w:r>
    </w:p>
    <w:p>
      <w:pPr>
        <w:spacing w:after="0"/>
        <w:ind w:left="0"/>
        <w:jc w:val="both"/>
      </w:pPr>
      <w:r>
        <w:rPr>
          <w:rFonts w:ascii="Times New Roman"/>
          <w:b w:val="false"/>
          <w:i w:val="false"/>
          <w:color w:val="000000"/>
          <w:sz w:val="28"/>
        </w:rPr>
        <w:t>
      6) ширина сортировочной поверхности - 1 200 мм;</w:t>
      </w:r>
    </w:p>
    <w:p>
      <w:pPr>
        <w:spacing w:after="0"/>
        <w:ind w:left="0"/>
        <w:jc w:val="both"/>
      </w:pPr>
      <w:r>
        <w:rPr>
          <w:rFonts w:ascii="Times New Roman"/>
          <w:b w:val="false"/>
          <w:i w:val="false"/>
          <w:color w:val="000000"/>
          <w:sz w:val="28"/>
        </w:rPr>
        <w:t>
      7) вибратор - два NA56;</w:t>
      </w:r>
    </w:p>
    <w:p>
      <w:pPr>
        <w:spacing w:after="0"/>
        <w:ind w:left="0"/>
        <w:jc w:val="both"/>
      </w:pPr>
      <w:r>
        <w:rPr>
          <w:rFonts w:ascii="Times New Roman"/>
          <w:b w:val="false"/>
          <w:i w:val="false"/>
          <w:color w:val="000000"/>
          <w:sz w:val="28"/>
        </w:rPr>
        <w:t>
      8) напряжение и частота сети - 3х 400 В/50 Гц;</w:t>
      </w:r>
    </w:p>
    <w:p>
      <w:pPr>
        <w:spacing w:after="0"/>
        <w:ind w:left="0"/>
        <w:jc w:val="both"/>
      </w:pPr>
      <w:r>
        <w:rPr>
          <w:rFonts w:ascii="Times New Roman"/>
          <w:b w:val="false"/>
          <w:i w:val="false"/>
          <w:color w:val="000000"/>
          <w:sz w:val="28"/>
        </w:rPr>
        <w:t>
      9) номинальная потребляемая мощность - 2.7 кВт;</w:t>
      </w:r>
    </w:p>
    <w:p>
      <w:pPr>
        <w:spacing w:after="0"/>
        <w:ind w:left="0"/>
        <w:jc w:val="both"/>
      </w:pPr>
      <w:r>
        <w:rPr>
          <w:rFonts w:ascii="Times New Roman"/>
          <w:b w:val="false"/>
          <w:i w:val="false"/>
          <w:color w:val="000000"/>
          <w:sz w:val="28"/>
        </w:rPr>
        <w:t>
      10) рабочая частота - 16 Гц;</w:t>
      </w:r>
    </w:p>
    <w:p>
      <w:pPr>
        <w:spacing w:after="0"/>
        <w:ind w:left="0"/>
        <w:jc w:val="both"/>
      </w:pPr>
      <w:r>
        <w:rPr>
          <w:rFonts w:ascii="Times New Roman"/>
          <w:b w:val="false"/>
          <w:i w:val="false"/>
          <w:color w:val="000000"/>
          <w:sz w:val="28"/>
        </w:rPr>
        <w:t>
      11) вибрирующая масса - 740 кг;</w:t>
      </w:r>
    </w:p>
    <w:p>
      <w:pPr>
        <w:spacing w:after="0"/>
        <w:ind w:left="0"/>
        <w:jc w:val="both"/>
      </w:pPr>
      <w:r>
        <w:rPr>
          <w:rFonts w:ascii="Times New Roman"/>
          <w:b w:val="false"/>
          <w:i w:val="false"/>
          <w:color w:val="000000"/>
          <w:sz w:val="28"/>
        </w:rPr>
        <w:t>
      12) общая масса - 754 кг;</w:t>
      </w:r>
    </w:p>
    <w:p>
      <w:pPr>
        <w:spacing w:after="0"/>
        <w:ind w:left="0"/>
        <w:jc w:val="both"/>
      </w:pPr>
      <w:r>
        <w:rPr>
          <w:rFonts w:ascii="Times New Roman"/>
          <w:b w:val="false"/>
          <w:i w:val="false"/>
          <w:color w:val="000000"/>
          <w:sz w:val="28"/>
        </w:rPr>
        <w:t>
      13) статистическая нагрузка под одной передней опорой - 2038 Н;</w:t>
      </w:r>
    </w:p>
    <w:p>
      <w:pPr>
        <w:spacing w:after="0"/>
        <w:ind w:left="0"/>
        <w:jc w:val="both"/>
      </w:pPr>
      <w:r>
        <w:rPr>
          <w:rFonts w:ascii="Times New Roman"/>
          <w:b w:val="false"/>
          <w:i w:val="false"/>
          <w:color w:val="000000"/>
          <w:sz w:val="28"/>
        </w:rPr>
        <w:t>
      14) статистическая нагрузка под одной задней опорой - 1592 Н;</w:t>
      </w:r>
    </w:p>
    <w:p>
      <w:pPr>
        <w:spacing w:after="0"/>
        <w:ind w:left="0"/>
        <w:jc w:val="both"/>
      </w:pPr>
      <w:r>
        <w:rPr>
          <w:rFonts w:ascii="Times New Roman"/>
          <w:b w:val="false"/>
          <w:i w:val="false"/>
          <w:color w:val="000000"/>
          <w:sz w:val="28"/>
        </w:rPr>
        <w:t>
      15) вертикальное динамическое воздействие под 1 опорой - ± 801 Н;</w:t>
      </w:r>
    </w:p>
    <w:p>
      <w:pPr>
        <w:spacing w:after="0"/>
        <w:ind w:left="0"/>
        <w:jc w:val="both"/>
      </w:pPr>
      <w:r>
        <w:rPr>
          <w:rFonts w:ascii="Times New Roman"/>
          <w:b w:val="false"/>
          <w:i w:val="false"/>
          <w:color w:val="000000"/>
          <w:sz w:val="28"/>
        </w:rPr>
        <w:t>
      16) горизонт, динамическое воздействие под 1 опорой - ± 9541 Н;</w:t>
      </w:r>
    </w:p>
    <w:p>
      <w:pPr>
        <w:spacing w:after="0"/>
        <w:ind w:left="0"/>
        <w:jc w:val="both"/>
      </w:pPr>
      <w:r>
        <w:rPr>
          <w:rFonts w:ascii="Times New Roman"/>
          <w:b w:val="false"/>
          <w:i w:val="false"/>
          <w:color w:val="000000"/>
          <w:sz w:val="28"/>
        </w:rPr>
        <w:t>
      17) настройка неравновесия - 80 %.</w:t>
      </w:r>
    </w:p>
    <w:p>
      <w:pPr>
        <w:spacing w:after="0"/>
        <w:ind w:left="0"/>
        <w:jc w:val="both"/>
      </w:pPr>
      <w:r>
        <w:rPr>
          <w:rFonts w:ascii="Times New Roman"/>
          <w:b w:val="false"/>
          <w:i w:val="false"/>
          <w:color w:val="000000"/>
          <w:sz w:val="28"/>
        </w:rPr>
        <w:t>
      Отложения, очищенные от крупных фракций переходят в аккумуляционные и гомогенизационные баки. Емкость аккумуляционных баков (3 х 700 м</w:t>
      </w:r>
      <w:r>
        <w:rPr>
          <w:rFonts w:ascii="Times New Roman"/>
          <w:b w:val="false"/>
          <w:i w:val="false"/>
          <w:color w:val="000000"/>
          <w:vertAlign w:val="superscript"/>
        </w:rPr>
        <w:t>3</w:t>
      </w:r>
      <w:r>
        <w:rPr>
          <w:rFonts w:ascii="Times New Roman"/>
          <w:b w:val="false"/>
          <w:i w:val="false"/>
          <w:color w:val="000000"/>
          <w:sz w:val="28"/>
        </w:rPr>
        <w:t>) гарантируют функциональность линии в круглосуточном режиме работы, также в случае если ночью (22:00 -06:00) земснаряд не будет работать.</w:t>
      </w:r>
    </w:p>
    <w:p>
      <w:pPr>
        <w:spacing w:after="0"/>
        <w:ind w:left="0"/>
        <w:jc w:val="both"/>
      </w:pPr>
      <w:r>
        <w:rPr>
          <w:rFonts w:ascii="Times New Roman"/>
          <w:b w:val="false"/>
          <w:i w:val="false"/>
          <w:color w:val="000000"/>
          <w:sz w:val="28"/>
        </w:rPr>
        <w:t>
      Из гомогенизационных баков смесь перекачивается через насосный контейнер в декантеры – 2 штуки FLOTTWEG Z73. Перед вводом в декантер в смесь добавляется необходимое количество флокулянта (2-3 кг/тонна сухого вещества). Флокулянт приготовляется в станциях флокулянта для рабочей концентрации 0,5%. Приготовление флокулянта, его созревание и дозировка в трубы в автоматическом режиме управляется системой DEWASYS. Вода до приготовления флокулянта выкачивается из озера автоматической водонапорной станцией.</w:t>
      </w:r>
    </w:p>
    <w:p>
      <w:pPr>
        <w:spacing w:after="0"/>
        <w:ind w:left="0"/>
        <w:jc w:val="both"/>
      </w:pPr>
      <w:r>
        <w:rPr>
          <w:rFonts w:ascii="Times New Roman"/>
          <w:b w:val="false"/>
          <w:i w:val="false"/>
          <w:color w:val="000000"/>
          <w:sz w:val="28"/>
        </w:rPr>
        <w:t>
      Для подготовки рабочей концентрации для проекта используется 1 штука полимерной станций DESET PS-12.</w:t>
      </w:r>
    </w:p>
    <w:p>
      <w:pPr>
        <w:spacing w:after="0"/>
        <w:ind w:left="0"/>
        <w:jc w:val="both"/>
      </w:pPr>
      <w:r>
        <w:rPr>
          <w:rFonts w:ascii="Times New Roman"/>
          <w:b w:val="false"/>
          <w:i w:val="false"/>
          <w:color w:val="000000"/>
          <w:sz w:val="28"/>
        </w:rPr>
        <w:t>
      Мобильная полимерная станция DESET PS-12 произведена из качественной нержавеющей стали. Система DESET PS-12 доступна в качестве автоматической и полуавтоматической и двух размерах.</w:t>
      </w:r>
    </w:p>
    <w:bookmarkStart w:name="z21" w:id="19"/>
    <w:p>
      <w:pPr>
        <w:spacing w:after="0"/>
        <w:ind w:left="0"/>
        <w:jc w:val="both"/>
      </w:pPr>
      <w:r>
        <w:rPr>
          <w:rFonts w:ascii="Times New Roman"/>
          <w:b w:val="false"/>
          <w:i w:val="false"/>
          <w:color w:val="000000"/>
          <w:sz w:val="28"/>
        </w:rPr>
        <w:t>
      12. Полуавтоматическая система состоит из 3-х соединенных резервуаров с непрерывным процессом подготовки, вылеживания и (хранения) откачки. Система лучше всего подходит для малых и средних предприятий. Автоматическая система, работающая в циклах от 45 до 60 минут, состоит из резервуара для смешивания, двух резервуаров для вылеживания. Система способна работать в непрерывном режиме. Все процессы контролирует собственная специализированная система DEWASYS. Установка подходит для легкого перехода от одного полимера к другому. Каждая установка оборудована вакуумным питателем, миксером для размешивания порошка, насосами, измерителями расхода, поплавковыми уровнемерами.</w:t>
      </w:r>
    </w:p>
    <w:bookmarkEnd w:id="19"/>
    <w:p>
      <w:pPr>
        <w:spacing w:after="0"/>
        <w:ind w:left="0"/>
        <w:jc w:val="both"/>
      </w:pPr>
      <w:r>
        <w:rPr>
          <w:rFonts w:ascii="Times New Roman"/>
          <w:b w:val="false"/>
          <w:i w:val="false"/>
          <w:color w:val="000000"/>
          <w:sz w:val="28"/>
        </w:rPr>
        <w:t>
      Deset PS-12:</w:t>
      </w:r>
    </w:p>
    <w:p>
      <w:pPr>
        <w:spacing w:after="0"/>
        <w:ind w:left="0"/>
        <w:jc w:val="both"/>
      </w:pPr>
      <w:r>
        <w:rPr>
          <w:rFonts w:ascii="Times New Roman"/>
          <w:b w:val="false"/>
          <w:i w:val="false"/>
          <w:color w:val="000000"/>
          <w:sz w:val="28"/>
        </w:rPr>
        <w:t>
      1) производительность раствора, м</w:t>
      </w:r>
      <w:r>
        <w:rPr>
          <w:rFonts w:ascii="Times New Roman"/>
          <w:b w:val="false"/>
          <w:i w:val="false"/>
          <w:color w:val="000000"/>
          <w:vertAlign w:val="superscript"/>
        </w:rPr>
        <w:t>3</w:t>
      </w:r>
      <w:r>
        <w:rPr>
          <w:rFonts w:ascii="Times New Roman"/>
          <w:b w:val="false"/>
          <w:i w:val="false"/>
          <w:color w:val="000000"/>
          <w:sz w:val="28"/>
        </w:rPr>
        <w:t>/ч – 10;</w:t>
      </w:r>
    </w:p>
    <w:p>
      <w:pPr>
        <w:spacing w:after="0"/>
        <w:ind w:left="0"/>
        <w:jc w:val="both"/>
      </w:pPr>
      <w:r>
        <w:rPr>
          <w:rFonts w:ascii="Times New Roman"/>
          <w:b w:val="false"/>
          <w:i w:val="false"/>
          <w:color w:val="000000"/>
          <w:sz w:val="28"/>
        </w:rPr>
        <w:t>
      2) концентрация раствора, % - 0,1-0,4;</w:t>
      </w:r>
    </w:p>
    <w:p>
      <w:pPr>
        <w:spacing w:after="0"/>
        <w:ind w:left="0"/>
        <w:jc w:val="both"/>
      </w:pPr>
      <w:r>
        <w:rPr>
          <w:rFonts w:ascii="Times New Roman"/>
          <w:b w:val="false"/>
          <w:i w:val="false"/>
          <w:color w:val="000000"/>
          <w:sz w:val="28"/>
        </w:rPr>
        <w:t>
      3) вакуумный питатель, кг – 125;</w:t>
      </w:r>
    </w:p>
    <w:p>
      <w:pPr>
        <w:spacing w:after="0"/>
        <w:ind w:left="0"/>
        <w:jc w:val="both"/>
      </w:pPr>
      <w:r>
        <w:rPr>
          <w:rFonts w:ascii="Times New Roman"/>
          <w:b w:val="false"/>
          <w:i w:val="false"/>
          <w:color w:val="000000"/>
          <w:sz w:val="28"/>
        </w:rPr>
        <w:t>
      4) винтовой насос для эмульсии. м</w:t>
      </w:r>
      <w:r>
        <w:rPr>
          <w:rFonts w:ascii="Times New Roman"/>
          <w:b w:val="false"/>
          <w:i w:val="false"/>
          <w:color w:val="000000"/>
          <w:vertAlign w:val="superscript"/>
        </w:rPr>
        <w:t>3</w:t>
      </w:r>
      <w:r>
        <w:rPr>
          <w:rFonts w:ascii="Times New Roman"/>
          <w:b w:val="false"/>
          <w:i w:val="false"/>
          <w:color w:val="000000"/>
          <w:sz w:val="28"/>
        </w:rPr>
        <w:t>/ч - 2-14;</w:t>
      </w:r>
    </w:p>
    <w:p>
      <w:pPr>
        <w:spacing w:after="0"/>
        <w:ind w:left="0"/>
        <w:jc w:val="both"/>
      </w:pPr>
      <w:r>
        <w:rPr>
          <w:rFonts w:ascii="Times New Roman"/>
          <w:b w:val="false"/>
          <w:i w:val="false"/>
          <w:color w:val="000000"/>
          <w:sz w:val="28"/>
        </w:rPr>
        <w:t>
      5) резервуар разделен в 3 части, общая емкость, дм</w:t>
      </w:r>
      <w:r>
        <w:rPr>
          <w:rFonts w:ascii="Times New Roman"/>
          <w:b w:val="false"/>
          <w:i w:val="false"/>
          <w:color w:val="000000"/>
          <w:vertAlign w:val="superscript"/>
        </w:rPr>
        <w:t>3</w:t>
      </w:r>
      <w:r>
        <w:rPr>
          <w:rFonts w:ascii="Times New Roman"/>
          <w:b w:val="false"/>
          <w:i w:val="false"/>
          <w:color w:val="000000"/>
          <w:sz w:val="28"/>
        </w:rPr>
        <w:t xml:space="preserve"> – 22000;</w:t>
      </w:r>
    </w:p>
    <w:p>
      <w:pPr>
        <w:spacing w:after="0"/>
        <w:ind w:left="0"/>
        <w:jc w:val="both"/>
      </w:pPr>
      <w:r>
        <w:rPr>
          <w:rFonts w:ascii="Times New Roman"/>
          <w:b w:val="false"/>
          <w:i w:val="false"/>
          <w:color w:val="000000"/>
          <w:sz w:val="28"/>
        </w:rPr>
        <w:t>
      6) установленная мощность, кВт - 33, 52А;</w:t>
      </w:r>
    </w:p>
    <w:p>
      <w:pPr>
        <w:spacing w:after="0"/>
        <w:ind w:left="0"/>
        <w:jc w:val="both"/>
      </w:pPr>
      <w:r>
        <w:rPr>
          <w:rFonts w:ascii="Times New Roman"/>
          <w:b w:val="false"/>
          <w:i w:val="false"/>
          <w:color w:val="000000"/>
          <w:sz w:val="28"/>
        </w:rPr>
        <w:t>
      7) объем воды под давлением, м</w:t>
      </w:r>
      <w:r>
        <w:rPr>
          <w:rFonts w:ascii="Times New Roman"/>
          <w:b w:val="false"/>
          <w:i w:val="false"/>
          <w:color w:val="000000"/>
          <w:vertAlign w:val="superscript"/>
        </w:rPr>
        <w:t>3</w:t>
      </w:r>
      <w:r>
        <w:rPr>
          <w:rFonts w:ascii="Times New Roman"/>
          <w:b w:val="false"/>
          <w:i w:val="false"/>
          <w:color w:val="000000"/>
          <w:sz w:val="28"/>
        </w:rPr>
        <w:t>/ч – 30;</w:t>
      </w:r>
    </w:p>
    <w:p>
      <w:pPr>
        <w:spacing w:after="0"/>
        <w:ind w:left="0"/>
        <w:jc w:val="both"/>
      </w:pPr>
      <w:r>
        <w:rPr>
          <w:rFonts w:ascii="Times New Roman"/>
          <w:b w:val="false"/>
          <w:i w:val="false"/>
          <w:color w:val="000000"/>
          <w:sz w:val="28"/>
        </w:rPr>
        <w:t>
      8) габаритные размеры, мм - 40 "резервуар 12191 х 2438 x 2591.</w:t>
      </w:r>
    </w:p>
    <w:p>
      <w:pPr>
        <w:spacing w:after="0"/>
        <w:ind w:left="0"/>
        <w:jc w:val="both"/>
      </w:pPr>
      <w:r>
        <w:rPr>
          <w:rFonts w:ascii="Times New Roman"/>
          <w:b w:val="false"/>
          <w:i w:val="false"/>
          <w:color w:val="000000"/>
          <w:sz w:val="28"/>
        </w:rPr>
        <w:t>
      Из декантеров Z73 обезвоженные отложения попадают на систему конвейеров, которая транспортирует отложения во временную свалку. Из этой свалки субподрядчик (транспортная компания) в текущем порядке транспортирует отложения в определенную свалку. Количество и частота отвоза поясняются в материальном балансе проекта.</w:t>
      </w:r>
    </w:p>
    <w:p>
      <w:pPr>
        <w:spacing w:after="0"/>
        <w:ind w:left="0"/>
        <w:jc w:val="both"/>
      </w:pPr>
      <w:r>
        <w:rPr>
          <w:rFonts w:ascii="Times New Roman"/>
          <w:b w:val="false"/>
          <w:i w:val="false"/>
          <w:color w:val="000000"/>
          <w:sz w:val="28"/>
        </w:rPr>
        <w:t>
      Фильтрат (фугат) из декантеров вытекает в водный бак с насосом. В автоматическом режиме, управляемым системой DEWASYS, вода откачивается назад в озеро.</w:t>
      </w:r>
    </w:p>
    <w:p>
      <w:pPr>
        <w:spacing w:after="0"/>
        <w:ind w:left="0"/>
        <w:jc w:val="both"/>
      </w:pPr>
      <w:r>
        <w:rPr>
          <w:rFonts w:ascii="Times New Roman"/>
          <w:b w:val="false"/>
          <w:i w:val="false"/>
          <w:color w:val="000000"/>
          <w:sz w:val="28"/>
        </w:rPr>
        <w:t>
      Электроэнергия для технологической линии производится в дизельных электростанциях.</w:t>
      </w:r>
    </w:p>
    <w:p>
      <w:pPr>
        <w:spacing w:after="0"/>
        <w:ind w:left="0"/>
        <w:jc w:val="both"/>
      </w:pPr>
      <w:r>
        <w:rPr>
          <w:rFonts w:ascii="Times New Roman"/>
          <w:b w:val="false"/>
          <w:i w:val="false"/>
          <w:color w:val="000000"/>
          <w:sz w:val="28"/>
        </w:rPr>
        <w:t>
      Частью установки являются также помещения для хранения флокулянта, склад, склад запасных частей, офисное и санитарное оборудование для персонала.</w:t>
      </w:r>
    </w:p>
    <w:p>
      <w:pPr>
        <w:spacing w:after="0"/>
        <w:ind w:left="0"/>
        <w:jc w:val="both"/>
      </w:pPr>
      <w:r>
        <w:rPr>
          <w:rFonts w:ascii="Times New Roman"/>
          <w:b w:val="false"/>
          <w:i w:val="false"/>
          <w:color w:val="000000"/>
          <w:sz w:val="28"/>
        </w:rPr>
        <w:t>
      Почти вся технология осуществляется транзитными грузовыми автомобилями с одним контейнером по 40 футов (12x2,45 м) или двумя контейнерами по 20 футов (6x2,45 м). Выгрузка к месту установки осуществляется кранами с соответствующей грузоподъемностью.</w:t>
      </w:r>
    </w:p>
    <w:p>
      <w:pPr>
        <w:spacing w:after="0"/>
        <w:ind w:left="0"/>
        <w:jc w:val="both"/>
      </w:pPr>
      <w:r>
        <w:rPr>
          <w:rFonts w:ascii="Times New Roman"/>
          <w:b w:val="false"/>
          <w:i w:val="false"/>
          <w:color w:val="000000"/>
          <w:sz w:val="28"/>
        </w:rPr>
        <w:t>
      Трубопроводы доставляются к месту осуществления работ транзитными грузовыми автомобилями. Трубопроводы разделены по 12 метр сегментами, зафиксированными в деревянной конструкции. Выгрузка из грузовиков при помощи кранов осуществляется в месте как можно ближе к воде. Кольца складываются в группы и упаковываются пленкой. Выгрузка осуществляется при помощи кранов в месте максимально близком к воде.</w:t>
      </w:r>
    </w:p>
    <w:p>
      <w:pPr>
        <w:spacing w:after="0"/>
        <w:ind w:left="0"/>
        <w:jc w:val="both"/>
      </w:pPr>
      <w:r>
        <w:rPr>
          <w:rFonts w:ascii="Times New Roman"/>
          <w:b w:val="false"/>
          <w:i w:val="false"/>
          <w:color w:val="000000"/>
          <w:sz w:val="28"/>
        </w:rPr>
        <w:t>
      Топливо для дизельных электростанций доставляется высокообъемными нефтяными цистернами (10 или 20 м</w:t>
      </w:r>
      <w:r>
        <w:rPr>
          <w:rFonts w:ascii="Times New Roman"/>
          <w:b w:val="false"/>
          <w:i w:val="false"/>
          <w:color w:val="000000"/>
          <w:vertAlign w:val="superscript"/>
        </w:rPr>
        <w:t>3</w:t>
      </w:r>
      <w:r>
        <w:rPr>
          <w:rFonts w:ascii="Times New Roman"/>
          <w:b w:val="false"/>
          <w:i w:val="false"/>
          <w:color w:val="000000"/>
          <w:sz w:val="28"/>
        </w:rPr>
        <w:t>). Топливо сворачивается в надземный сертифицированный резервуар, емкость которого превышает минимально доставляемое количество на 30%.</w:t>
      </w:r>
    </w:p>
    <w:p>
      <w:pPr>
        <w:spacing w:after="0"/>
        <w:ind w:left="0"/>
        <w:jc w:val="both"/>
      </w:pPr>
      <w:r>
        <w:rPr>
          <w:rFonts w:ascii="Times New Roman"/>
          <w:b w:val="false"/>
          <w:i w:val="false"/>
          <w:color w:val="000000"/>
          <w:sz w:val="28"/>
        </w:rPr>
        <w:t>
      Флокулянт в порошке доставляется упакованный в мешках по 25 кг, по 25 мешков на паллете, (625 кг/паллето). Флокулянты доставляются на транзитных грузовых автомобилях с 30 паллетами (18 тонн). Паллеты выгружаются мини-погрузчиком, который имеет постоянный персонал к распоряжению. Паллеты можно хранить в открытом помещении, поскольку они упакованы в защитную полиэтиленовую пленку.</w:t>
      </w:r>
    </w:p>
    <w:p>
      <w:pPr>
        <w:spacing w:after="0"/>
        <w:ind w:left="0"/>
        <w:jc w:val="both"/>
      </w:pPr>
      <w:r>
        <w:rPr>
          <w:rFonts w:ascii="Times New Roman"/>
          <w:b w:val="false"/>
          <w:i w:val="false"/>
          <w:color w:val="000000"/>
          <w:sz w:val="28"/>
        </w:rPr>
        <w:t>
      Запасные части для оборудования доставляются путем дорожной транспортировки через временную дорогу. Технический и обслуживающий персонал транспортируется легковыми автомобилями.</w:t>
      </w:r>
    </w:p>
    <w:p>
      <w:pPr>
        <w:spacing w:after="0"/>
        <w:ind w:left="0"/>
        <w:jc w:val="both"/>
      </w:pPr>
      <w:r>
        <w:rPr>
          <w:rFonts w:ascii="Times New Roman"/>
          <w:b w:val="false"/>
          <w:i w:val="false"/>
          <w:color w:val="000000"/>
          <w:sz w:val="28"/>
        </w:rPr>
        <w:t>
      Краткое содержание работ: обработка ила через вибрирующее сито в резервуар гомогенизации, приготовление и добавление флокулянта, прокачка шлама суспензии в дренажное устройство, обезвоживание, транспортировка обезвоженного ила, откачка очищенной воды обратно в водоем.</w:t>
      </w:r>
    </w:p>
    <w:p>
      <w:pPr>
        <w:spacing w:after="0"/>
        <w:ind w:left="0"/>
        <w:jc w:val="both"/>
      </w:pPr>
      <w:r>
        <w:rPr>
          <w:rFonts w:ascii="Times New Roman"/>
          <w:b w:val="false"/>
          <w:i w:val="false"/>
          <w:color w:val="000000"/>
          <w:sz w:val="28"/>
        </w:rPr>
        <w:t>
      При расходах на обезвоживание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20 до 40% и сроком продолжительности работ от 150 до 300 календарных дней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По результатам работ проводятся лабораторные анализы, их аналитическая обработка с включением результатов лабораторных анализов в сводные таблицы, а также составляется пояснительная записка.</w:t>
      </w:r>
    </w:p>
    <w:p>
      <w:pPr>
        <w:spacing w:after="0"/>
        <w:ind w:left="0"/>
        <w:jc w:val="both"/>
      </w:pPr>
      <w:r>
        <w:rPr>
          <w:rFonts w:ascii="Times New Roman"/>
          <w:b w:val="false"/>
          <w:i w:val="false"/>
          <w:color w:val="000000"/>
          <w:sz w:val="28"/>
        </w:rPr>
        <w:t>
      Конечный результат: сухой остаток.</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гидросмеси.</w:t>
      </w:r>
    </w:p>
    <w:bookmarkStart w:name="z22" w:id="20"/>
    <w:p>
      <w:pPr>
        <w:spacing w:after="0"/>
        <w:ind w:left="0"/>
        <w:jc w:val="both"/>
      </w:pPr>
      <w:r>
        <w:rPr>
          <w:rFonts w:ascii="Times New Roman"/>
          <w:b w:val="false"/>
          <w:i w:val="false"/>
          <w:color w:val="000000"/>
          <w:sz w:val="28"/>
        </w:rPr>
        <w:t>
      13. Технология обезвоживания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10 до 15% и сроком продолжительности работ от 90 до 150 календарных дней.</w:t>
      </w:r>
    </w:p>
    <w:bookmarkEnd w:id="20"/>
    <w:p>
      <w:pPr>
        <w:spacing w:after="0"/>
        <w:ind w:left="0"/>
        <w:jc w:val="both"/>
      </w:pPr>
      <w:r>
        <w:rPr>
          <w:rFonts w:ascii="Times New Roman"/>
          <w:b w:val="false"/>
          <w:i w:val="false"/>
          <w:color w:val="000000"/>
          <w:sz w:val="28"/>
        </w:rPr>
        <w:t>
      Обработка полученных донных отложений производится через вибрирующее сито в резервуар гомогенизации. Вибрационное сито, использованное для захвата грубого мусора, и размер сети, изменяется в зависимости от размера исходных частиц распределенного ила.</w:t>
      </w:r>
    </w:p>
    <w:p>
      <w:pPr>
        <w:spacing w:after="0"/>
        <w:ind w:left="0"/>
        <w:jc w:val="both"/>
      </w:pPr>
      <w:r>
        <w:rPr>
          <w:rFonts w:ascii="Times New Roman"/>
          <w:b w:val="false"/>
          <w:i w:val="false"/>
          <w:color w:val="000000"/>
          <w:sz w:val="28"/>
        </w:rPr>
        <w:t>
      После отделения грубых примесей шлам поступает в 2 (два) гомогенизационных резервуара, каждый с объемом в 80 м</w:t>
      </w:r>
      <w:r>
        <w:rPr>
          <w:rFonts w:ascii="Times New Roman"/>
          <w:b w:val="false"/>
          <w:i w:val="false"/>
          <w:color w:val="000000"/>
          <w:vertAlign w:val="superscript"/>
        </w:rPr>
        <w:t>3</w:t>
      </w:r>
      <w:r>
        <w:rPr>
          <w:rFonts w:ascii="Times New Roman"/>
          <w:b w:val="false"/>
          <w:i w:val="false"/>
          <w:color w:val="000000"/>
          <w:sz w:val="28"/>
        </w:rPr>
        <w:t>. В каждом гомогенизационном резервуаре установлены 3 (три) единицы погружных систем. Объем резервуара гомогенизации больше, чем мощность одного часа обработки объекта (дренаж) донных отложений (шлама) в дренажных устройствах.</w:t>
      </w:r>
    </w:p>
    <w:p>
      <w:pPr>
        <w:spacing w:after="0"/>
        <w:ind w:left="0"/>
        <w:jc w:val="both"/>
      </w:pPr>
      <w:r>
        <w:rPr>
          <w:rFonts w:ascii="Times New Roman"/>
          <w:b w:val="false"/>
          <w:i w:val="false"/>
          <w:color w:val="000000"/>
          <w:sz w:val="28"/>
        </w:rPr>
        <w:t>
      Гомогенизационный бак с использованием винтовых насосов для дозирования суспензии закачивается в центрифуги Flottweg Z92 подвески донных отложений. Максимальная производительность насоса составляет до 120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- 50-110 м</w:t>
      </w:r>
      <w:r>
        <w:rPr>
          <w:rFonts w:ascii="Times New Roman"/>
          <w:b w:val="false"/>
          <w:i w:val="false"/>
          <w:color w:val="000000"/>
          <w:vertAlign w:val="superscript"/>
        </w:rPr>
        <w:t>3</w:t>
      </w:r>
      <w:r>
        <w:rPr>
          <w:rFonts w:ascii="Times New Roman"/>
          <w:b w:val="false"/>
          <w:i w:val="false"/>
          <w:color w:val="000000"/>
          <w:sz w:val="28"/>
        </w:rPr>
        <w:t>/час-1, в зависимости от концентрации твердых веществ отложений в перекачиваемой суспензии. Шлам суспензию прокачивают через смесительное устройство в дренажное устройство - центрифуга Flottweg Z92.</w:t>
      </w:r>
    </w:p>
    <w:p>
      <w:pPr>
        <w:spacing w:after="0"/>
        <w:ind w:left="0"/>
        <w:jc w:val="both"/>
      </w:pPr>
      <w:r>
        <w:rPr>
          <w:rFonts w:ascii="Times New Roman"/>
          <w:b w:val="false"/>
          <w:i w:val="false"/>
          <w:color w:val="000000"/>
          <w:sz w:val="28"/>
        </w:rPr>
        <w:t>
      Подключение различных устройств к электроэнергии обеспечивается от главного распределительного щита.</w:t>
      </w:r>
    </w:p>
    <w:p>
      <w:pPr>
        <w:spacing w:after="0"/>
        <w:ind w:left="0"/>
        <w:jc w:val="both"/>
      </w:pPr>
      <w:r>
        <w:rPr>
          <w:rFonts w:ascii="Times New Roman"/>
          <w:b w:val="false"/>
          <w:i w:val="false"/>
          <w:color w:val="000000"/>
          <w:sz w:val="28"/>
        </w:rPr>
        <w:t>
      Гомогенизационный бак с использованием винтовых насосов для дозирования суспензии закачивается в центрифугах подвески донных отложений. Максимальная производительность насоса составляет до 100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зависит от концентрации твердых веществ отложений в перекачиваемой суспензии. Шлам суспензии прокачивается через смесительное устройство в дренажное устройство - центрифугу.</w:t>
      </w:r>
    </w:p>
    <w:p>
      <w:pPr>
        <w:spacing w:after="0"/>
        <w:ind w:left="0"/>
        <w:jc w:val="both"/>
      </w:pPr>
      <w:r>
        <w:rPr>
          <w:rFonts w:ascii="Times New Roman"/>
          <w:b w:val="false"/>
          <w:i w:val="false"/>
          <w:color w:val="000000"/>
          <w:sz w:val="28"/>
        </w:rPr>
        <w:t>
      В смесительном устройстве, установленном на трубе подачи для отвода подвески, устройство добавляется к раствору флокулянта. Подключение различных устройств к электроэнергии обеспечивается от главного распределительного щита.</w:t>
      </w:r>
    </w:p>
    <w:p>
      <w:pPr>
        <w:spacing w:after="0"/>
        <w:ind w:left="0"/>
        <w:jc w:val="both"/>
      </w:pPr>
      <w:r>
        <w:rPr>
          <w:rFonts w:ascii="Times New Roman"/>
          <w:b w:val="false"/>
          <w:i w:val="false"/>
          <w:color w:val="000000"/>
          <w:sz w:val="28"/>
        </w:rPr>
        <w:t>
      Состав отложений и воды входит на вибрационные сита. На ситах с отверстиями 2 мм отделяются большие части из отложений. На основе предложенного гранулометрического анализа заказчик предполагает отделение 13,4 % сухого вещества.</w:t>
      </w:r>
    </w:p>
    <w:p>
      <w:pPr>
        <w:spacing w:after="0"/>
        <w:ind w:left="0"/>
        <w:jc w:val="both"/>
      </w:pPr>
      <w:r>
        <w:rPr>
          <w:rFonts w:ascii="Times New Roman"/>
          <w:b w:val="false"/>
          <w:i w:val="false"/>
          <w:color w:val="000000"/>
          <w:sz w:val="28"/>
        </w:rPr>
        <w:t>
      Основные параметры вибросит:</w:t>
      </w:r>
    </w:p>
    <w:p>
      <w:pPr>
        <w:spacing w:after="0"/>
        <w:ind w:left="0"/>
        <w:jc w:val="both"/>
      </w:pPr>
      <w:r>
        <w:rPr>
          <w:rFonts w:ascii="Times New Roman"/>
          <w:b w:val="false"/>
          <w:i w:val="false"/>
          <w:color w:val="000000"/>
          <w:sz w:val="28"/>
        </w:rPr>
        <w:t>
      1) типовое обозначение машины - GAMA 120.300 1;</w:t>
      </w:r>
    </w:p>
    <w:p>
      <w:pPr>
        <w:spacing w:after="0"/>
        <w:ind w:left="0"/>
        <w:jc w:val="both"/>
      </w:pPr>
      <w:r>
        <w:rPr>
          <w:rFonts w:ascii="Times New Roman"/>
          <w:b w:val="false"/>
          <w:i w:val="false"/>
          <w:color w:val="000000"/>
          <w:sz w:val="28"/>
        </w:rPr>
        <w:t>
      2) максимальное количество воды - 150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максимальная крепкая доля - 2 - 20 %;</w:t>
      </w:r>
    </w:p>
    <w:p>
      <w:pPr>
        <w:spacing w:after="0"/>
        <w:ind w:left="0"/>
        <w:jc w:val="both"/>
      </w:pPr>
      <w:r>
        <w:rPr>
          <w:rFonts w:ascii="Times New Roman"/>
          <w:b w:val="false"/>
          <w:i w:val="false"/>
          <w:color w:val="000000"/>
          <w:sz w:val="28"/>
        </w:rPr>
        <w:t>
      4) длина сортировочной поверхности - 3000 мм;</w:t>
      </w:r>
    </w:p>
    <w:p>
      <w:pPr>
        <w:spacing w:after="0"/>
        <w:ind w:left="0"/>
        <w:jc w:val="both"/>
      </w:pPr>
      <w:r>
        <w:rPr>
          <w:rFonts w:ascii="Times New Roman"/>
          <w:b w:val="false"/>
          <w:i w:val="false"/>
          <w:color w:val="000000"/>
          <w:sz w:val="28"/>
        </w:rPr>
        <w:t>
      5) общая длина сепаратора - 3 821 мм;</w:t>
      </w:r>
    </w:p>
    <w:p>
      <w:pPr>
        <w:spacing w:after="0"/>
        <w:ind w:left="0"/>
        <w:jc w:val="both"/>
      </w:pPr>
      <w:r>
        <w:rPr>
          <w:rFonts w:ascii="Times New Roman"/>
          <w:b w:val="false"/>
          <w:i w:val="false"/>
          <w:color w:val="000000"/>
          <w:sz w:val="28"/>
        </w:rPr>
        <w:t>
      6) ширина сортировочной поверхности - 1200 мм;</w:t>
      </w:r>
    </w:p>
    <w:p>
      <w:pPr>
        <w:spacing w:after="0"/>
        <w:ind w:left="0"/>
        <w:jc w:val="both"/>
      </w:pPr>
      <w:r>
        <w:rPr>
          <w:rFonts w:ascii="Times New Roman"/>
          <w:b w:val="false"/>
          <w:i w:val="false"/>
          <w:color w:val="000000"/>
          <w:sz w:val="28"/>
        </w:rPr>
        <w:t>
      7) вибратор - два NA56;</w:t>
      </w:r>
    </w:p>
    <w:p>
      <w:pPr>
        <w:spacing w:after="0"/>
        <w:ind w:left="0"/>
        <w:jc w:val="both"/>
      </w:pPr>
      <w:r>
        <w:rPr>
          <w:rFonts w:ascii="Times New Roman"/>
          <w:b w:val="false"/>
          <w:i w:val="false"/>
          <w:color w:val="000000"/>
          <w:sz w:val="28"/>
        </w:rPr>
        <w:t>
      8) напряжение и частота сети - 3х 400 В/50 Гц;</w:t>
      </w:r>
    </w:p>
    <w:p>
      <w:pPr>
        <w:spacing w:after="0"/>
        <w:ind w:left="0"/>
        <w:jc w:val="both"/>
      </w:pPr>
      <w:r>
        <w:rPr>
          <w:rFonts w:ascii="Times New Roman"/>
          <w:b w:val="false"/>
          <w:i w:val="false"/>
          <w:color w:val="000000"/>
          <w:sz w:val="28"/>
        </w:rPr>
        <w:t>
      9) номинальная потребляемая мощность - 2.7 кВт;</w:t>
      </w:r>
    </w:p>
    <w:p>
      <w:pPr>
        <w:spacing w:after="0"/>
        <w:ind w:left="0"/>
        <w:jc w:val="both"/>
      </w:pPr>
      <w:r>
        <w:rPr>
          <w:rFonts w:ascii="Times New Roman"/>
          <w:b w:val="false"/>
          <w:i w:val="false"/>
          <w:color w:val="000000"/>
          <w:sz w:val="28"/>
        </w:rPr>
        <w:t>
      10) рабочая частота - 16 Гц;</w:t>
      </w:r>
    </w:p>
    <w:p>
      <w:pPr>
        <w:spacing w:after="0"/>
        <w:ind w:left="0"/>
        <w:jc w:val="both"/>
      </w:pPr>
      <w:r>
        <w:rPr>
          <w:rFonts w:ascii="Times New Roman"/>
          <w:b w:val="false"/>
          <w:i w:val="false"/>
          <w:color w:val="000000"/>
          <w:sz w:val="28"/>
        </w:rPr>
        <w:t>
      11) вибрирующая масса - 740 кг;</w:t>
      </w:r>
    </w:p>
    <w:p>
      <w:pPr>
        <w:spacing w:after="0"/>
        <w:ind w:left="0"/>
        <w:jc w:val="both"/>
      </w:pPr>
      <w:r>
        <w:rPr>
          <w:rFonts w:ascii="Times New Roman"/>
          <w:b w:val="false"/>
          <w:i w:val="false"/>
          <w:color w:val="000000"/>
          <w:sz w:val="28"/>
        </w:rPr>
        <w:t>
      12) общая масса - 754 кг;</w:t>
      </w:r>
    </w:p>
    <w:p>
      <w:pPr>
        <w:spacing w:after="0"/>
        <w:ind w:left="0"/>
        <w:jc w:val="both"/>
      </w:pPr>
      <w:r>
        <w:rPr>
          <w:rFonts w:ascii="Times New Roman"/>
          <w:b w:val="false"/>
          <w:i w:val="false"/>
          <w:color w:val="000000"/>
          <w:sz w:val="28"/>
        </w:rPr>
        <w:t>
      13) статистическая нагрузка под одной передней опорой - 2038 Н;</w:t>
      </w:r>
    </w:p>
    <w:p>
      <w:pPr>
        <w:spacing w:after="0"/>
        <w:ind w:left="0"/>
        <w:jc w:val="both"/>
      </w:pPr>
      <w:r>
        <w:rPr>
          <w:rFonts w:ascii="Times New Roman"/>
          <w:b w:val="false"/>
          <w:i w:val="false"/>
          <w:color w:val="000000"/>
          <w:sz w:val="28"/>
        </w:rPr>
        <w:t>
      14) статистическая нагрузка под одной задней опорой - 1592 Н;</w:t>
      </w:r>
    </w:p>
    <w:p>
      <w:pPr>
        <w:spacing w:after="0"/>
        <w:ind w:left="0"/>
        <w:jc w:val="both"/>
      </w:pPr>
      <w:r>
        <w:rPr>
          <w:rFonts w:ascii="Times New Roman"/>
          <w:b w:val="false"/>
          <w:i w:val="false"/>
          <w:color w:val="000000"/>
          <w:sz w:val="28"/>
        </w:rPr>
        <w:t>
      15) вертикальное динамическое воздействие под 1 опорой - ± 801 Н;</w:t>
      </w:r>
    </w:p>
    <w:p>
      <w:pPr>
        <w:spacing w:after="0"/>
        <w:ind w:left="0"/>
        <w:jc w:val="both"/>
      </w:pPr>
      <w:r>
        <w:rPr>
          <w:rFonts w:ascii="Times New Roman"/>
          <w:b w:val="false"/>
          <w:i w:val="false"/>
          <w:color w:val="000000"/>
          <w:sz w:val="28"/>
        </w:rPr>
        <w:t>
      16) горизонт динамическое воздействие под 1 опорой - ± 9541 Н;</w:t>
      </w:r>
    </w:p>
    <w:p>
      <w:pPr>
        <w:spacing w:after="0"/>
        <w:ind w:left="0"/>
        <w:jc w:val="both"/>
      </w:pPr>
      <w:r>
        <w:rPr>
          <w:rFonts w:ascii="Times New Roman"/>
          <w:b w:val="false"/>
          <w:i w:val="false"/>
          <w:color w:val="000000"/>
          <w:sz w:val="28"/>
        </w:rPr>
        <w:t>
      17) настройка колебаний (неравновесия) - 80 %.</w:t>
      </w:r>
    </w:p>
    <w:p>
      <w:pPr>
        <w:spacing w:after="0"/>
        <w:ind w:left="0"/>
        <w:jc w:val="both"/>
      </w:pPr>
      <w:r>
        <w:rPr>
          <w:rFonts w:ascii="Times New Roman"/>
          <w:b w:val="false"/>
          <w:i w:val="false"/>
          <w:color w:val="000000"/>
          <w:sz w:val="28"/>
        </w:rPr>
        <w:t>
      Отложения, очищенные от крупных фракций переходят в аккумуляционные и гомогенизационные баки. Емкость аккумуляционных баков (2 х 1000 м</w:t>
      </w:r>
      <w:r>
        <w:rPr>
          <w:rFonts w:ascii="Times New Roman"/>
          <w:b w:val="false"/>
          <w:i w:val="false"/>
          <w:color w:val="000000"/>
          <w:vertAlign w:val="superscript"/>
        </w:rPr>
        <w:t>3</w:t>
      </w:r>
      <w:r>
        <w:rPr>
          <w:rFonts w:ascii="Times New Roman"/>
          <w:b w:val="false"/>
          <w:i w:val="false"/>
          <w:color w:val="000000"/>
          <w:sz w:val="28"/>
        </w:rPr>
        <w:t>) гарантирует функциональность линии в круглосуточном режиме работы, также в случае, если ночью (22:00 -06:00) земснаряд не будет работать.</w:t>
      </w:r>
    </w:p>
    <w:p>
      <w:pPr>
        <w:spacing w:after="0"/>
        <w:ind w:left="0"/>
        <w:jc w:val="both"/>
      </w:pPr>
      <w:r>
        <w:rPr>
          <w:rFonts w:ascii="Times New Roman"/>
          <w:b w:val="false"/>
          <w:i w:val="false"/>
          <w:color w:val="000000"/>
          <w:sz w:val="28"/>
        </w:rPr>
        <w:t>
      Из гомогенизационных баков смесь перекачивается через насосный контейнер в декантеры. Перед вводом в декантер в смесь добавляется необходимое количество флокулянта. Флокулянт приготовляется в станциях флокулянта для рабочей концентрации 0,5%.</w:t>
      </w:r>
    </w:p>
    <w:p>
      <w:pPr>
        <w:spacing w:after="0"/>
        <w:ind w:left="0"/>
        <w:jc w:val="both"/>
      </w:pPr>
      <w:r>
        <w:rPr>
          <w:rFonts w:ascii="Times New Roman"/>
          <w:b w:val="false"/>
          <w:i w:val="false"/>
          <w:color w:val="000000"/>
          <w:sz w:val="28"/>
        </w:rPr>
        <w:t xml:space="preserve">
      Приготовление флокулянта, его созревание и дозировка в трубы в автоматическом режиме управляется системой DEWASYS. Вода для приготовления флокулянта собирается из озера автоматической водонапорной станцией. Для подготовки рабочей концентрации для проекта используется 2 штуки полимерной станции DESET Р8-2. Мобильная полимерная станция DESET Р8-2 произведена из качественной нержавеющей стали. Система DESET Р8-2 доступна в качестве автоматической и полуавтоматической и двух размерах. </w:t>
      </w:r>
    </w:p>
    <w:bookmarkStart w:name="z23" w:id="21"/>
    <w:p>
      <w:pPr>
        <w:spacing w:after="0"/>
        <w:ind w:left="0"/>
        <w:jc w:val="both"/>
      </w:pPr>
      <w:r>
        <w:rPr>
          <w:rFonts w:ascii="Times New Roman"/>
          <w:b w:val="false"/>
          <w:i w:val="false"/>
          <w:color w:val="000000"/>
          <w:sz w:val="28"/>
        </w:rPr>
        <w:t>
      14. Полуавтоматическая система состоит из 3-х соединенных резервуаров с непрерывным процессом вылеживание и (хранения) откачки. Система лучше всего подходит для малых и средних предприятий. Автоматическая система, работающая в циклах от 45 до 60 минут, состоит из резервуара для смешивания, двух резервуаров для вылеживания. Система способна работать в непрерывном режиме. Все процессы контролирует собственная специальная система DEWASYS. Установка подходит для легкого перехода от одного полимера к другому.</w:t>
      </w:r>
    </w:p>
    <w:bookmarkEnd w:id="21"/>
    <w:p>
      <w:pPr>
        <w:spacing w:after="0"/>
        <w:ind w:left="0"/>
        <w:jc w:val="both"/>
      </w:pPr>
      <w:r>
        <w:rPr>
          <w:rFonts w:ascii="Times New Roman"/>
          <w:b w:val="false"/>
          <w:i w:val="false"/>
          <w:color w:val="000000"/>
          <w:sz w:val="28"/>
        </w:rPr>
        <w:t>
      Каждая установка оборудована вакуумным питателем, миксером для размешивания порошка, насосами, измерителями расхода, поплавковыми уровнемерами.</w:t>
      </w:r>
    </w:p>
    <w:p>
      <w:pPr>
        <w:spacing w:after="0"/>
        <w:ind w:left="0"/>
        <w:jc w:val="both"/>
      </w:pPr>
      <w:r>
        <w:rPr>
          <w:rFonts w:ascii="Times New Roman"/>
          <w:b w:val="false"/>
          <w:i w:val="false"/>
          <w:color w:val="000000"/>
          <w:sz w:val="28"/>
        </w:rPr>
        <w:t>
      Deset Р8-2:</w:t>
      </w:r>
    </w:p>
    <w:p>
      <w:pPr>
        <w:spacing w:after="0"/>
        <w:ind w:left="0"/>
        <w:jc w:val="both"/>
      </w:pPr>
      <w:r>
        <w:rPr>
          <w:rFonts w:ascii="Times New Roman"/>
          <w:b w:val="false"/>
          <w:i w:val="false"/>
          <w:color w:val="000000"/>
          <w:sz w:val="28"/>
        </w:rPr>
        <w:t>
      1) производительность раствора, м</w:t>
      </w:r>
      <w:r>
        <w:rPr>
          <w:rFonts w:ascii="Times New Roman"/>
          <w:b w:val="false"/>
          <w:i w:val="false"/>
          <w:color w:val="000000"/>
          <w:vertAlign w:val="superscript"/>
        </w:rPr>
        <w:t>3</w:t>
      </w:r>
      <w:r>
        <w:rPr>
          <w:rFonts w:ascii="Times New Roman"/>
          <w:b w:val="false"/>
          <w:i w:val="false"/>
          <w:color w:val="000000"/>
          <w:sz w:val="28"/>
        </w:rPr>
        <w:t>/ч – 10;</w:t>
      </w:r>
    </w:p>
    <w:p>
      <w:pPr>
        <w:spacing w:after="0"/>
        <w:ind w:left="0"/>
        <w:jc w:val="both"/>
      </w:pPr>
      <w:r>
        <w:rPr>
          <w:rFonts w:ascii="Times New Roman"/>
          <w:b w:val="false"/>
          <w:i w:val="false"/>
          <w:color w:val="000000"/>
          <w:sz w:val="28"/>
        </w:rPr>
        <w:t>
      2) концентрация раствора, % - 0,1-0,4;</w:t>
      </w:r>
    </w:p>
    <w:p>
      <w:pPr>
        <w:spacing w:after="0"/>
        <w:ind w:left="0"/>
        <w:jc w:val="both"/>
      </w:pPr>
      <w:r>
        <w:rPr>
          <w:rFonts w:ascii="Times New Roman"/>
          <w:b w:val="false"/>
          <w:i w:val="false"/>
          <w:color w:val="000000"/>
          <w:sz w:val="28"/>
        </w:rPr>
        <w:t>
      3) вакуумный питатель, кг – 125;</w:t>
      </w:r>
    </w:p>
    <w:p>
      <w:pPr>
        <w:spacing w:after="0"/>
        <w:ind w:left="0"/>
        <w:jc w:val="both"/>
      </w:pPr>
      <w:r>
        <w:rPr>
          <w:rFonts w:ascii="Times New Roman"/>
          <w:b w:val="false"/>
          <w:i w:val="false"/>
          <w:color w:val="000000"/>
          <w:sz w:val="28"/>
        </w:rPr>
        <w:t>
      4) винтовой насос для эмульсии, м</w:t>
      </w:r>
      <w:r>
        <w:rPr>
          <w:rFonts w:ascii="Times New Roman"/>
          <w:b w:val="false"/>
          <w:i w:val="false"/>
          <w:color w:val="000000"/>
          <w:vertAlign w:val="superscript"/>
        </w:rPr>
        <w:t>3</w:t>
      </w:r>
      <w:r>
        <w:rPr>
          <w:rFonts w:ascii="Times New Roman"/>
          <w:b w:val="false"/>
          <w:i w:val="false"/>
          <w:color w:val="000000"/>
          <w:sz w:val="28"/>
        </w:rPr>
        <w:t>/ч - 2-И4;</w:t>
      </w:r>
    </w:p>
    <w:p>
      <w:pPr>
        <w:spacing w:after="0"/>
        <w:ind w:left="0"/>
        <w:jc w:val="both"/>
      </w:pPr>
      <w:r>
        <w:rPr>
          <w:rFonts w:ascii="Times New Roman"/>
          <w:b w:val="false"/>
          <w:i w:val="false"/>
          <w:color w:val="000000"/>
          <w:sz w:val="28"/>
        </w:rPr>
        <w:t>
      5) резервуар разделен в 3 части, общая емкость, дм</w:t>
      </w:r>
      <w:r>
        <w:rPr>
          <w:rFonts w:ascii="Times New Roman"/>
          <w:b w:val="false"/>
          <w:i w:val="false"/>
          <w:color w:val="000000"/>
          <w:vertAlign w:val="superscript"/>
        </w:rPr>
        <w:t>3</w:t>
      </w:r>
      <w:r>
        <w:rPr>
          <w:rFonts w:ascii="Times New Roman"/>
          <w:b w:val="false"/>
          <w:i w:val="false"/>
          <w:color w:val="000000"/>
          <w:sz w:val="28"/>
        </w:rPr>
        <w:t xml:space="preserve"> – 22000;</w:t>
      </w:r>
    </w:p>
    <w:p>
      <w:pPr>
        <w:spacing w:after="0"/>
        <w:ind w:left="0"/>
        <w:jc w:val="both"/>
      </w:pPr>
      <w:r>
        <w:rPr>
          <w:rFonts w:ascii="Times New Roman"/>
          <w:b w:val="false"/>
          <w:i w:val="false"/>
          <w:color w:val="000000"/>
          <w:sz w:val="28"/>
        </w:rPr>
        <w:t>
      6) установленная мощность, кВт - 33,52 А;</w:t>
      </w:r>
    </w:p>
    <w:p>
      <w:pPr>
        <w:spacing w:after="0"/>
        <w:ind w:left="0"/>
        <w:jc w:val="both"/>
      </w:pPr>
      <w:r>
        <w:rPr>
          <w:rFonts w:ascii="Times New Roman"/>
          <w:b w:val="false"/>
          <w:i w:val="false"/>
          <w:color w:val="000000"/>
          <w:sz w:val="28"/>
        </w:rPr>
        <w:t>
      7) объем воды под давлением, м</w:t>
      </w:r>
      <w:r>
        <w:rPr>
          <w:rFonts w:ascii="Times New Roman"/>
          <w:b w:val="false"/>
          <w:i w:val="false"/>
          <w:color w:val="000000"/>
          <w:vertAlign w:val="superscript"/>
        </w:rPr>
        <w:t>3</w:t>
      </w:r>
      <w:r>
        <w:rPr>
          <w:rFonts w:ascii="Times New Roman"/>
          <w:b w:val="false"/>
          <w:i w:val="false"/>
          <w:color w:val="000000"/>
          <w:sz w:val="28"/>
        </w:rPr>
        <w:t>/ч – 30;</w:t>
      </w:r>
    </w:p>
    <w:p>
      <w:pPr>
        <w:spacing w:after="0"/>
        <w:ind w:left="0"/>
        <w:jc w:val="both"/>
      </w:pPr>
      <w:r>
        <w:rPr>
          <w:rFonts w:ascii="Times New Roman"/>
          <w:b w:val="false"/>
          <w:i w:val="false"/>
          <w:color w:val="000000"/>
          <w:sz w:val="28"/>
        </w:rPr>
        <w:t>
      8) габаритные размеры, мм - 40 "резервуар 12191 x 2438 x 2591.</w:t>
      </w:r>
    </w:p>
    <w:p>
      <w:pPr>
        <w:spacing w:after="0"/>
        <w:ind w:left="0"/>
        <w:jc w:val="both"/>
      </w:pPr>
      <w:r>
        <w:rPr>
          <w:rFonts w:ascii="Times New Roman"/>
          <w:b w:val="false"/>
          <w:i w:val="false"/>
          <w:color w:val="000000"/>
          <w:sz w:val="28"/>
        </w:rPr>
        <w:t>
      Из декантеров обезвоженные отложения попадают на систему конвейеров, которая транспортирует отложения на временную свалку.</w:t>
      </w:r>
    </w:p>
    <w:p>
      <w:pPr>
        <w:spacing w:after="0"/>
        <w:ind w:left="0"/>
        <w:jc w:val="both"/>
      </w:pPr>
      <w:r>
        <w:rPr>
          <w:rFonts w:ascii="Times New Roman"/>
          <w:b w:val="false"/>
          <w:i w:val="false"/>
          <w:color w:val="000000"/>
          <w:sz w:val="28"/>
        </w:rPr>
        <w:t>
      Фильтрат (фугат) из декантеров вытекает в водный бак с насосом. В автоматическом режиме, управляемой системой DEWASYS, вода откачивается назад в озеро.</w:t>
      </w:r>
    </w:p>
    <w:p>
      <w:pPr>
        <w:spacing w:after="0"/>
        <w:ind w:left="0"/>
        <w:jc w:val="both"/>
      </w:pPr>
      <w:r>
        <w:rPr>
          <w:rFonts w:ascii="Times New Roman"/>
          <w:b w:val="false"/>
          <w:i w:val="false"/>
          <w:color w:val="000000"/>
          <w:sz w:val="28"/>
        </w:rPr>
        <w:t>
      Электроэнергия для технологической линии производится в дизельных электростанциях.</w:t>
      </w:r>
    </w:p>
    <w:p>
      <w:pPr>
        <w:spacing w:after="0"/>
        <w:ind w:left="0"/>
        <w:jc w:val="both"/>
      </w:pPr>
      <w:r>
        <w:rPr>
          <w:rFonts w:ascii="Times New Roman"/>
          <w:b w:val="false"/>
          <w:i w:val="false"/>
          <w:color w:val="000000"/>
          <w:sz w:val="28"/>
        </w:rPr>
        <w:t>
      Частью установки являются также помещения для хранения флокулянта, топливный резервуар, склад запасных частей, офисные и санитарное устройства для персонала.</w:t>
      </w:r>
    </w:p>
    <w:p>
      <w:pPr>
        <w:spacing w:after="0"/>
        <w:ind w:left="0"/>
        <w:jc w:val="both"/>
      </w:pPr>
      <w:r>
        <w:rPr>
          <w:rFonts w:ascii="Times New Roman"/>
          <w:b w:val="false"/>
          <w:i w:val="false"/>
          <w:color w:val="000000"/>
          <w:sz w:val="28"/>
        </w:rPr>
        <w:t>
      Почти вся технология осуществляется транзитными грузовыми автомобилями с одним контейнером по 40 футов (12,19x2,45 м) или двумя контейнерами по 20 футов (6,06x2,45 м). Выгрузка к месту установки осуществляется кранами с соответствующей грузоподъемностью.</w:t>
      </w:r>
    </w:p>
    <w:p>
      <w:pPr>
        <w:spacing w:after="0"/>
        <w:ind w:left="0"/>
        <w:jc w:val="both"/>
      </w:pPr>
      <w:r>
        <w:rPr>
          <w:rFonts w:ascii="Times New Roman"/>
          <w:b w:val="false"/>
          <w:i w:val="false"/>
          <w:color w:val="000000"/>
          <w:sz w:val="28"/>
        </w:rPr>
        <w:t>
      Трубопроводы доставляются к месту осуществления работ транзитными грузовыми автомобилями. Трубопроводы разделены по 12 метров сегментами, зафиксированными в деревянной конструкции. Выгрузка осуществляется из грузовиков при помощи кранов в месте как можно ближе к воде. Кольца складываются в группах и упаковываются пленкой. Выгрузка осуществляется при помощи кранов в месте максимально близком к воде.</w:t>
      </w:r>
    </w:p>
    <w:p>
      <w:pPr>
        <w:spacing w:after="0"/>
        <w:ind w:left="0"/>
        <w:jc w:val="both"/>
      </w:pPr>
      <w:r>
        <w:rPr>
          <w:rFonts w:ascii="Times New Roman"/>
          <w:b w:val="false"/>
          <w:i w:val="false"/>
          <w:color w:val="000000"/>
          <w:sz w:val="28"/>
        </w:rPr>
        <w:t>
      Топливо для дизельных электростанций доставляется высокообъемными нефтяными цистернами (10 или 20 м</w:t>
      </w:r>
      <w:r>
        <w:rPr>
          <w:rFonts w:ascii="Times New Roman"/>
          <w:b w:val="false"/>
          <w:i w:val="false"/>
          <w:color w:val="000000"/>
          <w:vertAlign w:val="superscript"/>
        </w:rPr>
        <w:t>3</w:t>
      </w:r>
      <w:r>
        <w:rPr>
          <w:rFonts w:ascii="Times New Roman"/>
          <w:b w:val="false"/>
          <w:i w:val="false"/>
          <w:color w:val="000000"/>
          <w:sz w:val="28"/>
        </w:rPr>
        <w:t>). Топливо сворачивается в надземный сертифицированный резервуар, емкость которого превышает минимально доставляемое количество на 30%. Место слива для аварийных случаев обеспечивается структурно по типу утечки нефтепродуктов в окружающую среду (сборный бак для аварийной утечки).</w:t>
      </w:r>
    </w:p>
    <w:p>
      <w:pPr>
        <w:spacing w:after="0"/>
        <w:ind w:left="0"/>
        <w:jc w:val="both"/>
      </w:pPr>
      <w:r>
        <w:rPr>
          <w:rFonts w:ascii="Times New Roman"/>
          <w:b w:val="false"/>
          <w:i w:val="false"/>
          <w:color w:val="000000"/>
          <w:sz w:val="28"/>
        </w:rPr>
        <w:t>
      Флокулянт в порошке доставляется упакованный в мешках по 25 кг, по 25 мешков на паллете, (625 кг/паллето). Флокулянты доставляются на транзитных грузовых автомобилях с 30 паллетами (18 тонн). Паллеты выгружаются мини-погрузчиком, который имеет постоянный персонал к распоряжению. Паллеты хранятся в открытом помещении, поскольку они упакованы в защитную полиэтиленовую пленку.</w:t>
      </w:r>
    </w:p>
    <w:bookmarkStart w:name="z24" w:id="22"/>
    <w:p>
      <w:pPr>
        <w:spacing w:after="0"/>
        <w:ind w:left="0"/>
        <w:jc w:val="both"/>
      </w:pPr>
      <w:r>
        <w:rPr>
          <w:rFonts w:ascii="Times New Roman"/>
          <w:b w:val="false"/>
          <w:i w:val="false"/>
          <w:color w:val="000000"/>
          <w:sz w:val="28"/>
        </w:rPr>
        <w:t xml:space="preserve">
      15. Краткое содержание работы: обработка ила через вибрирующее сито в резервуар гомогенизации, приготовление и добавление флокулянта, прокачка шлама суспензии в дренажное устройство, обезвоживание, транспортировка обезвоженного ила, откачка очищенной воды обратно в водоем. </w:t>
      </w:r>
    </w:p>
    <w:bookmarkEnd w:id="22"/>
    <w:p>
      <w:pPr>
        <w:spacing w:after="0"/>
        <w:ind w:left="0"/>
        <w:jc w:val="both"/>
      </w:pPr>
      <w:r>
        <w:rPr>
          <w:rFonts w:ascii="Times New Roman"/>
          <w:b w:val="false"/>
          <w:i w:val="false"/>
          <w:color w:val="000000"/>
          <w:sz w:val="28"/>
        </w:rPr>
        <w:t>
      При расходах на обезвоживание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10 до 15 % и сроком продолжительности работ от 90 до 150 календарных дней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По результатам работ проводятся лабораторные анализы, их аналитическая обработка с включением результатов лабораторных анализов в сводные таблицы, а также составляется пояснительная записка.</w:t>
      </w:r>
    </w:p>
    <w:p>
      <w:pPr>
        <w:spacing w:after="0"/>
        <w:ind w:left="0"/>
        <w:jc w:val="both"/>
      </w:pPr>
      <w:r>
        <w:rPr>
          <w:rFonts w:ascii="Times New Roman"/>
          <w:b w:val="false"/>
          <w:i w:val="false"/>
          <w:color w:val="000000"/>
          <w:sz w:val="28"/>
        </w:rPr>
        <w:t>
      Конечный результат: сухой остаток.</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гидросмеси.</w:t>
      </w:r>
    </w:p>
    <w:bookmarkStart w:name="z25" w:id="23"/>
    <w:p>
      <w:pPr>
        <w:spacing w:after="0"/>
        <w:ind w:left="0"/>
        <w:jc w:val="both"/>
      </w:pPr>
      <w:r>
        <w:rPr>
          <w:rFonts w:ascii="Times New Roman"/>
          <w:b w:val="false"/>
          <w:i w:val="false"/>
          <w:color w:val="000000"/>
          <w:sz w:val="28"/>
        </w:rPr>
        <w:t>
      16. Доочистка воды в водоемах - фугата центрифужных установок ультрафильтрацией.</w:t>
      </w:r>
    </w:p>
    <w:bookmarkEnd w:id="23"/>
    <w:p>
      <w:pPr>
        <w:spacing w:after="0"/>
        <w:ind w:left="0"/>
        <w:jc w:val="both"/>
      </w:pPr>
      <w:r>
        <w:rPr>
          <w:rFonts w:ascii="Times New Roman"/>
          <w:b w:val="false"/>
          <w:i w:val="false"/>
          <w:color w:val="000000"/>
          <w:sz w:val="28"/>
        </w:rPr>
        <w:t>
      Технология ультрафильтрации позволяет получать воду с мутностью менее 0.1 мг/дм3 вне зависимости от изменения мутности исходной воды. В сочетании с первичным дозированием коагулянта (минеральный коагулянт на основе 3-х валентного железа) ультрафильтрация позволяет гарантированно снизить показатели цветности на 60-90%, а содержание органики ХПК до 50-75%. В исходную воду также дозируется суспензия бентонитовой глины AQUACLAY для нейтрализации остаточного полимерного флокулянта, который используется для отделения илового осадка на центрифужных установках. Дренаж обратной промывки установки ультрафильтрации возвращается в голову технологической линии - накопительная емкость сепарационной установки. Основные технологические параметры технологии ультрафильтрации установки AQUAPORE UF-4-14 при условии, что параметры исходной воды:</w:t>
      </w:r>
    </w:p>
    <w:p>
      <w:pPr>
        <w:spacing w:after="0"/>
        <w:ind w:left="0"/>
        <w:jc w:val="both"/>
      </w:pPr>
      <w:r>
        <w:rPr>
          <w:rFonts w:ascii="Times New Roman"/>
          <w:b w:val="false"/>
          <w:i w:val="false"/>
          <w:color w:val="000000"/>
          <w:sz w:val="28"/>
        </w:rPr>
        <w:t>
      1) минимальная производительность по исходной воде: 160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2) максимальная производительность по исходной воде: 170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3) производительность по фильтрату: 147-160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4) напор сбросной линии фильтрата: 2,5 м;</w:t>
      </w:r>
    </w:p>
    <w:p>
      <w:pPr>
        <w:spacing w:after="0"/>
        <w:ind w:left="0"/>
        <w:jc w:val="both"/>
      </w:pPr>
      <w:r>
        <w:rPr>
          <w:rFonts w:ascii="Times New Roman"/>
          <w:b w:val="false"/>
          <w:i w:val="false"/>
          <w:color w:val="000000"/>
          <w:sz w:val="28"/>
        </w:rPr>
        <w:t>
      5) общая площадь поверхности фильтрации: 3360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количество модулей (dizzer XL0/9MB60): 56;</w:t>
      </w:r>
    </w:p>
    <w:p>
      <w:pPr>
        <w:spacing w:after="0"/>
        <w:ind w:left="0"/>
        <w:jc w:val="both"/>
      </w:pPr>
      <w:r>
        <w:rPr>
          <w:rFonts w:ascii="Times New Roman"/>
          <w:b w:val="false"/>
          <w:i w:val="false"/>
          <w:color w:val="000000"/>
          <w:sz w:val="28"/>
        </w:rPr>
        <w:t>
      7) выход пермеата: 92-95 %;</w:t>
      </w:r>
    </w:p>
    <w:p>
      <w:pPr>
        <w:spacing w:after="0"/>
        <w:ind w:left="0"/>
        <w:jc w:val="both"/>
      </w:pPr>
      <w:r>
        <w:rPr>
          <w:rFonts w:ascii="Times New Roman"/>
          <w:b w:val="false"/>
          <w:i w:val="false"/>
          <w:color w:val="000000"/>
          <w:sz w:val="28"/>
        </w:rPr>
        <w:t>
      8) удельная скорость фильтрации, брутто: 50,2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/час;</w:t>
      </w:r>
    </w:p>
    <w:p>
      <w:pPr>
        <w:spacing w:after="0"/>
        <w:ind w:left="0"/>
        <w:jc w:val="both"/>
      </w:pPr>
      <w:r>
        <w:rPr>
          <w:rFonts w:ascii="Times New Roman"/>
          <w:b w:val="false"/>
          <w:i w:val="false"/>
          <w:color w:val="000000"/>
          <w:sz w:val="28"/>
        </w:rPr>
        <w:t>
      9) удельная скорость фильтрации, нетто: 43,2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/час;</w:t>
      </w:r>
    </w:p>
    <w:p>
      <w:pPr>
        <w:spacing w:after="0"/>
        <w:ind w:left="0"/>
        <w:jc w:val="both"/>
      </w:pPr>
      <w:r>
        <w:rPr>
          <w:rFonts w:ascii="Times New Roman"/>
          <w:b w:val="false"/>
          <w:i w:val="false"/>
          <w:color w:val="000000"/>
          <w:sz w:val="28"/>
        </w:rPr>
        <w:t>
      10) дренаж обратной промывки: 13,0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11) дренаж усиленной обратной промывки: 2,0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12) интервал м/у усиленной обратной промывкой: 12-48 часов;</w:t>
      </w:r>
    </w:p>
    <w:p>
      <w:pPr>
        <w:spacing w:after="0"/>
        <w:ind w:left="0"/>
        <w:jc w:val="both"/>
      </w:pPr>
      <w:r>
        <w:rPr>
          <w:rFonts w:ascii="Times New Roman"/>
          <w:b w:val="false"/>
          <w:i w:val="false"/>
          <w:color w:val="000000"/>
          <w:sz w:val="28"/>
        </w:rPr>
        <w:t>
      13) расход при обратной промывке: 773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14) расход при усиленной обратной промывке: 403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15) продолжительность режима фильтрации: 645-0 мин;</w:t>
      </w:r>
    </w:p>
    <w:p>
      <w:pPr>
        <w:spacing w:after="0"/>
        <w:ind w:left="0"/>
        <w:jc w:val="both"/>
      </w:pPr>
      <w:r>
        <w:rPr>
          <w:rFonts w:ascii="Times New Roman"/>
          <w:b w:val="false"/>
          <w:i w:val="false"/>
          <w:color w:val="000000"/>
          <w:sz w:val="28"/>
        </w:rPr>
        <w:t>
      16) продолжительность обратной промывки: 45-60 с.;</w:t>
      </w:r>
    </w:p>
    <w:p>
      <w:pPr>
        <w:spacing w:after="0"/>
        <w:ind w:left="0"/>
        <w:jc w:val="both"/>
      </w:pPr>
      <w:r>
        <w:rPr>
          <w:rFonts w:ascii="Times New Roman"/>
          <w:b w:val="false"/>
          <w:i w:val="false"/>
          <w:color w:val="000000"/>
          <w:sz w:val="28"/>
        </w:rPr>
        <w:t>
      17) объем дренажа обратной промывки: 9,6-12,8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18) напор сбросной дренажной линии: 5,0 м;</w:t>
      </w:r>
    </w:p>
    <w:p>
      <w:pPr>
        <w:spacing w:after="0"/>
        <w:ind w:left="0"/>
        <w:jc w:val="both"/>
      </w:pPr>
      <w:r>
        <w:rPr>
          <w:rFonts w:ascii="Times New Roman"/>
          <w:b w:val="false"/>
          <w:i w:val="false"/>
          <w:color w:val="000000"/>
          <w:sz w:val="28"/>
        </w:rPr>
        <w:t>
      19) суммарное удельное энергопотребление: 0,03-0,05 кВт/м</w:t>
      </w:r>
      <w:r>
        <w:rPr>
          <w:rFonts w:ascii="Times New Roman"/>
          <w:b w:val="false"/>
          <w:i w:val="false"/>
          <w:color w:val="000000"/>
          <w:vertAlign w:val="superscript"/>
        </w:rPr>
        <w:t>3</w:t>
      </w:r>
      <w:r>
        <w:rPr>
          <w:rFonts w:ascii="Times New Roman"/>
          <w:b w:val="false"/>
          <w:i w:val="false"/>
          <w:color w:val="000000"/>
          <w:sz w:val="28"/>
        </w:rPr>
        <w:t xml:space="preserve"> очищенной воды.</w:t>
      </w:r>
    </w:p>
    <w:p>
      <w:pPr>
        <w:spacing w:after="0"/>
        <w:ind w:left="0"/>
        <w:jc w:val="both"/>
      </w:pPr>
      <w:r>
        <w:rPr>
          <w:rFonts w:ascii="Times New Roman"/>
          <w:b w:val="false"/>
          <w:i w:val="false"/>
          <w:color w:val="000000"/>
          <w:sz w:val="28"/>
        </w:rPr>
        <w:t>
      Исходная вода поступает через линию исходной воды. Для нейтрализации и связывания остаточного полимерного коагулянта в трубопровод исходной воды дозируется адсорбент AQUACLAY (водная суспензия бентонитовой глины) и минеральный коагулянт на основе солей железа. Для эффективного перемешивания AQUACLAY и коагулянта исходной воды на линии исходной воды устанавливается статический миксер. После дозирования AQUACLAY и коагулянта вода направляется в двухсекционную коллекторную емкость номинальным объемом 105 м</w:t>
      </w:r>
      <w:r>
        <w:rPr>
          <w:rFonts w:ascii="Times New Roman"/>
          <w:b w:val="false"/>
          <w:i w:val="false"/>
          <w:color w:val="000000"/>
          <w:vertAlign w:val="superscript"/>
        </w:rPr>
        <w:t>3</w:t>
      </w:r>
      <w:r>
        <w:rPr>
          <w:rFonts w:ascii="Times New Roman"/>
          <w:b w:val="false"/>
          <w:i w:val="false"/>
          <w:color w:val="000000"/>
          <w:sz w:val="28"/>
        </w:rPr>
        <w:t>, которая обеспечивает контактное время исходной воды с реагентами, а также является буферным резервуаром для усреднения расхода исходной воды. Для перемешивания исходной воды в коллекторной емкости используется насосная станция с производительностью 90 м</w:t>
      </w:r>
      <w:r>
        <w:rPr>
          <w:rFonts w:ascii="Times New Roman"/>
          <w:b w:val="false"/>
          <w:i w:val="false"/>
          <w:color w:val="000000"/>
          <w:vertAlign w:val="superscript"/>
        </w:rPr>
        <w:t>3</w:t>
      </w:r>
      <w:r>
        <w:rPr>
          <w:rFonts w:ascii="Times New Roman"/>
          <w:b w:val="false"/>
          <w:i w:val="false"/>
          <w:color w:val="000000"/>
          <w:sz w:val="28"/>
        </w:rPr>
        <w:t>/час. Для подготовки и дозирования суспензии AQUACLAY и коагулянта предусматриваются соответствующие станции подготовки и дозирования.</w:t>
      </w:r>
    </w:p>
    <w:p>
      <w:pPr>
        <w:spacing w:after="0"/>
        <w:ind w:left="0"/>
        <w:jc w:val="both"/>
      </w:pPr>
      <w:r>
        <w:rPr>
          <w:rFonts w:ascii="Times New Roman"/>
          <w:b w:val="false"/>
          <w:i w:val="false"/>
          <w:color w:val="000000"/>
          <w:sz w:val="28"/>
        </w:rPr>
        <w:t>
      Из коллекторной емкости исходная вода через насосную станцию подготовки подается на фильтр грубой фильтрации, который установлен для защиты мембран ультрафильтрации от механических частиц размером более 250 микрометров.</w:t>
      </w:r>
    </w:p>
    <w:p>
      <w:pPr>
        <w:spacing w:after="0"/>
        <w:ind w:left="0"/>
        <w:jc w:val="both"/>
      </w:pPr>
      <w:r>
        <w:rPr>
          <w:rFonts w:ascii="Times New Roman"/>
          <w:b w:val="false"/>
          <w:i w:val="false"/>
          <w:color w:val="000000"/>
          <w:sz w:val="28"/>
        </w:rPr>
        <w:t>
      После безнапорного сорбционного фильтра вода поступает на ультрафильтрационную установку AQUAPORE UF-4-14, которая оснащена шкафом управления с промышленным контроллером и интерфейсом оператора (HMI). Режимы работы установки в автоматическом режиме: фильтрация снизу, фильтрация сверху, обратная промывка снизу, обратная промывка сверху, прямая промывка снизу, промывка сверху, усиленная обратная промывка на три реагента, ожидание, проверка целостности модулей, подготовка установки (вентиляция модулей и трубопроводов). Фильтрат с установок ультрафильтрации направляется на сбросную линию и на емкость хранения фильтрата ультрафильтрации (обратной промывки).</w:t>
      </w:r>
    </w:p>
    <w:p>
      <w:pPr>
        <w:spacing w:after="0"/>
        <w:ind w:left="0"/>
        <w:jc w:val="both"/>
      </w:pPr>
      <w:r>
        <w:rPr>
          <w:rFonts w:ascii="Times New Roman"/>
          <w:b w:val="false"/>
          <w:i w:val="false"/>
          <w:color w:val="000000"/>
          <w:sz w:val="28"/>
        </w:rPr>
        <w:t>
      Для обратной и усиленной обратной промывки установок ультрафильтрации используется насосная станция.</w:t>
      </w:r>
    </w:p>
    <w:bookmarkStart w:name="z26" w:id="24"/>
    <w:p>
      <w:pPr>
        <w:spacing w:after="0"/>
        <w:ind w:left="0"/>
        <w:jc w:val="both"/>
      </w:pPr>
      <w:r>
        <w:rPr>
          <w:rFonts w:ascii="Times New Roman"/>
          <w:b w:val="false"/>
          <w:i w:val="false"/>
          <w:color w:val="000000"/>
          <w:sz w:val="28"/>
        </w:rPr>
        <w:t>
      17. Все дополнительные устройства технологической линии (насосная станция обратной промывки, узлы дозирования реагентов усиленной промывки, инструменты и арматура технологического контроля) включены в централизованную систему контроля и работают полностью в автоматическом режиме.</w:t>
      </w:r>
    </w:p>
    <w:bookmarkEnd w:id="24"/>
    <w:p>
      <w:pPr>
        <w:spacing w:after="0"/>
        <w:ind w:left="0"/>
        <w:jc w:val="both"/>
      </w:pPr>
      <w:r>
        <w:rPr>
          <w:rFonts w:ascii="Times New Roman"/>
          <w:b w:val="false"/>
          <w:i w:val="false"/>
          <w:color w:val="000000"/>
          <w:sz w:val="28"/>
        </w:rPr>
        <w:t>
      При расходах на доочистку воды в водоемах - фугата центрифужных установок ультрафильтрацией на установках AQUAPORE-UF с использованием ультрафильтрационных модулей dizzer XL Multibore0.9®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Конечный результат: очищенная вода.</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очищенной воды.</w:t>
      </w:r>
    </w:p>
    <w:bookmarkStart w:name="z27" w:id="25"/>
    <w:p>
      <w:pPr>
        <w:spacing w:after="0"/>
        <w:ind w:left="0"/>
        <w:jc w:val="left"/>
      </w:pPr>
      <w:r>
        <w:rPr>
          <w:rFonts w:ascii="Times New Roman"/>
          <w:b/>
          <w:i w:val="false"/>
          <w:color w:val="000000"/>
        </w:rPr>
        <w:t xml:space="preserve"> 3. Экологические нормативы и требования к зарыблению водоемов</w:t>
      </w:r>
    </w:p>
    <w:bookmarkEnd w:id="25"/>
    <w:bookmarkStart w:name="z28" w:id="26"/>
    <w:p>
      <w:pPr>
        <w:spacing w:after="0"/>
        <w:ind w:left="0"/>
        <w:jc w:val="both"/>
      </w:pPr>
      <w:r>
        <w:rPr>
          <w:rFonts w:ascii="Times New Roman"/>
          <w:b w:val="false"/>
          <w:i w:val="false"/>
          <w:color w:val="000000"/>
          <w:sz w:val="28"/>
        </w:rPr>
        <w:t>
      18. Зарыбление водоемов производится по этапам, тщательно анализируя каждый из них. Первоначально оценивается эффект от первого выпуска в озеро белого амура (темп роста рыб, изменения степени развития и видового состава водорослей, химические показатели воды, индекс сапробности).</w:t>
      </w:r>
    </w:p>
    <w:bookmarkEnd w:id="26"/>
    <w:p>
      <w:pPr>
        <w:spacing w:after="0"/>
        <w:ind w:left="0"/>
        <w:jc w:val="both"/>
      </w:pPr>
      <w:r>
        <w:rPr>
          <w:rFonts w:ascii="Times New Roman"/>
          <w:b w:val="false"/>
          <w:i w:val="false"/>
          <w:color w:val="000000"/>
          <w:sz w:val="28"/>
        </w:rPr>
        <w:t>
      Растет амур быстро. Половой зрелости достигает в шесть-семь лет. Нерест происходит в конце весны. Количество икры, выметываемое одной самкой, 800 тысяч икринок и более. Икра крупная. Через семь суток после вылупления при длине 8 мм личинки захватывают пищу, плавая у дна. В возрасте 22 суток начинают заглатывать много нитчатых водорослей. На питание растительностью белый амур переходит на первом году жизни, при длине около 3 см. Живет амур не собираясь в крупные стаи.</w:t>
      </w:r>
    </w:p>
    <w:p>
      <w:pPr>
        <w:spacing w:after="0"/>
        <w:ind w:left="0"/>
        <w:jc w:val="both"/>
      </w:pPr>
      <w:r>
        <w:rPr>
          <w:rFonts w:ascii="Times New Roman"/>
          <w:b w:val="false"/>
          <w:i w:val="false"/>
          <w:color w:val="000000"/>
          <w:sz w:val="28"/>
        </w:rPr>
        <w:t xml:space="preserve">
      В последующем, для поддержания положительного эффекта, в соответствии с уровнем развития водной растительности, численность белого амура поддерживается. </w:t>
      </w:r>
    </w:p>
    <w:bookmarkStart w:name="z29" w:id="27"/>
    <w:p>
      <w:pPr>
        <w:spacing w:after="0"/>
        <w:ind w:left="0"/>
        <w:jc w:val="both"/>
      </w:pPr>
      <w:r>
        <w:rPr>
          <w:rFonts w:ascii="Times New Roman"/>
          <w:b w:val="false"/>
          <w:i w:val="false"/>
          <w:color w:val="000000"/>
          <w:sz w:val="28"/>
        </w:rPr>
        <w:t xml:space="preserve">
      19. Содержание работы. Посадка крупного посадочного материала белого амура. </w:t>
      </w:r>
    </w:p>
    <w:bookmarkEnd w:id="27"/>
    <w:p>
      <w:pPr>
        <w:spacing w:after="0"/>
        <w:ind w:left="0"/>
        <w:jc w:val="both"/>
      </w:pPr>
      <w:r>
        <w:rPr>
          <w:rFonts w:ascii="Times New Roman"/>
          <w:b w:val="false"/>
          <w:i w:val="false"/>
          <w:color w:val="000000"/>
          <w:sz w:val="28"/>
        </w:rPr>
        <w:t>
      При расходах на зарыбление водоемов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стоимость рыбы;</w:t>
      </w:r>
    </w:p>
    <w:p>
      <w:pPr>
        <w:spacing w:after="0"/>
        <w:ind w:left="0"/>
        <w:jc w:val="both"/>
      </w:pPr>
      <w:r>
        <w:rPr>
          <w:rFonts w:ascii="Times New Roman"/>
          <w:b w:val="false"/>
          <w:i w:val="false"/>
          <w:color w:val="000000"/>
          <w:sz w:val="28"/>
        </w:rPr>
        <w:t>
      4) транспортные расходы на вывоз.</w:t>
      </w:r>
    </w:p>
    <w:p>
      <w:pPr>
        <w:spacing w:after="0"/>
        <w:ind w:left="0"/>
        <w:jc w:val="both"/>
      </w:pPr>
      <w:r>
        <w:rPr>
          <w:rFonts w:ascii="Times New Roman"/>
          <w:b w:val="false"/>
          <w:i w:val="false"/>
          <w:color w:val="000000"/>
          <w:sz w:val="28"/>
        </w:rPr>
        <w:t>
      Конечный результат: зарыбление водоема.</w:t>
      </w:r>
    </w:p>
    <w:p>
      <w:pPr>
        <w:spacing w:after="0"/>
        <w:ind w:left="0"/>
        <w:jc w:val="both"/>
      </w:pPr>
      <w:r>
        <w:rPr>
          <w:rFonts w:ascii="Times New Roman"/>
          <w:b w:val="false"/>
          <w:i w:val="false"/>
          <w:color w:val="000000"/>
          <w:sz w:val="28"/>
        </w:rPr>
        <w:t>
      Единица измерения: 1 га.</w:t>
      </w:r>
    </w:p>
    <w:bookmarkStart w:name="z30" w:id="28"/>
    <w:p>
      <w:pPr>
        <w:spacing w:after="0"/>
        <w:ind w:left="0"/>
        <w:jc w:val="left"/>
      </w:pPr>
      <w:r>
        <w:rPr>
          <w:rFonts w:ascii="Times New Roman"/>
          <w:b/>
          <w:i w:val="false"/>
          <w:color w:val="000000"/>
        </w:rPr>
        <w:t xml:space="preserve"> 4. Экологические нормативы и требования к аэрации водоемов</w:t>
      </w:r>
    </w:p>
    <w:bookmarkEnd w:id="28"/>
    <w:bookmarkStart w:name="z31" w:id="29"/>
    <w:p>
      <w:pPr>
        <w:spacing w:after="0"/>
        <w:ind w:left="0"/>
        <w:jc w:val="both"/>
      </w:pPr>
      <w:r>
        <w:rPr>
          <w:rFonts w:ascii="Times New Roman"/>
          <w:b w:val="false"/>
          <w:i w:val="false"/>
          <w:color w:val="000000"/>
          <w:sz w:val="28"/>
        </w:rPr>
        <w:t>
      20. Биоинженерный способ улучшения качества воды осуществляется путем создания гидравлической системы аэрации с флотатором с входящими трубками и монтажным оборудованием с подводкой электрокабеля сечением (4х6мм</w:t>
      </w:r>
      <w:r>
        <w:rPr>
          <w:rFonts w:ascii="Times New Roman"/>
          <w:b w:val="false"/>
          <w:i w:val="false"/>
          <w:color w:val="000000"/>
          <w:vertAlign w:val="superscript"/>
        </w:rPr>
        <w:t>2</w:t>
      </w:r>
      <w:r>
        <w:rPr>
          <w:rFonts w:ascii="Times New Roman"/>
          <w:b w:val="false"/>
          <w:i w:val="false"/>
          <w:color w:val="000000"/>
          <w:sz w:val="28"/>
        </w:rPr>
        <w:t>). Для системы аэрации используется аэратор Waterix AIRIT200 с флотатором (Финляндия).</w:t>
      </w:r>
    </w:p>
    <w:bookmarkEnd w:id="29"/>
    <w:p>
      <w:pPr>
        <w:spacing w:after="0"/>
        <w:ind w:left="0"/>
        <w:jc w:val="both"/>
      </w:pPr>
      <w:r>
        <w:rPr>
          <w:rFonts w:ascii="Times New Roman"/>
          <w:b w:val="false"/>
          <w:i w:val="false"/>
          <w:color w:val="000000"/>
          <w:sz w:val="28"/>
        </w:rPr>
        <w:t>
      Принцип работы аэраторов AIRIT200:</w:t>
      </w:r>
    </w:p>
    <w:p>
      <w:pPr>
        <w:spacing w:after="0"/>
        <w:ind w:left="0"/>
        <w:jc w:val="both"/>
      </w:pPr>
      <w:r>
        <w:rPr>
          <w:rFonts w:ascii="Times New Roman"/>
          <w:b w:val="false"/>
          <w:i w:val="false"/>
          <w:color w:val="000000"/>
          <w:sz w:val="28"/>
        </w:rPr>
        <w:t>
      1) насосы поднимают воду с помощью пропеллера через всасывающую трубу. Нижняя часть всасывающей трубы находится на расстоянии 1-2,5 м от дна озера;</w:t>
      </w:r>
    </w:p>
    <w:p>
      <w:pPr>
        <w:spacing w:after="0"/>
        <w:ind w:left="0"/>
        <w:jc w:val="both"/>
      </w:pPr>
      <w:r>
        <w:rPr>
          <w:rFonts w:ascii="Times New Roman"/>
          <w:b w:val="false"/>
          <w:i w:val="false"/>
          <w:color w:val="000000"/>
          <w:sz w:val="28"/>
        </w:rPr>
        <w:t>
      2) центробежный насос выбрасывает воду на 360 градусов;</w:t>
      </w:r>
    </w:p>
    <w:p>
      <w:pPr>
        <w:spacing w:after="0"/>
        <w:ind w:left="0"/>
        <w:jc w:val="both"/>
      </w:pPr>
      <w:r>
        <w:rPr>
          <w:rFonts w:ascii="Times New Roman"/>
          <w:b w:val="false"/>
          <w:i w:val="false"/>
          <w:color w:val="000000"/>
          <w:sz w:val="28"/>
        </w:rPr>
        <w:t>
      3) производится аэрация.</w:t>
      </w:r>
    </w:p>
    <w:p>
      <w:pPr>
        <w:spacing w:after="0"/>
        <w:ind w:left="0"/>
        <w:jc w:val="both"/>
      </w:pPr>
      <w:r>
        <w:rPr>
          <w:rFonts w:ascii="Times New Roman"/>
          <w:b w:val="false"/>
          <w:i w:val="false"/>
          <w:color w:val="000000"/>
          <w:sz w:val="28"/>
        </w:rPr>
        <w:t>
      Преимущества аэратора: за счет широкой всасывающей трубы сопротивление потока примерно в 3 раза меньше, чем с узкой трубой, что дает более высокую производительность аэратора даже в более глубоких местах.</w:t>
      </w:r>
    </w:p>
    <w:bookmarkStart w:name="z32" w:id="30"/>
    <w:p>
      <w:pPr>
        <w:spacing w:after="0"/>
        <w:ind w:left="0"/>
        <w:jc w:val="both"/>
      </w:pPr>
      <w:r>
        <w:rPr>
          <w:rFonts w:ascii="Times New Roman"/>
          <w:b w:val="false"/>
          <w:i w:val="false"/>
          <w:color w:val="000000"/>
          <w:sz w:val="28"/>
        </w:rPr>
        <w:t>
      21. Основные технические характеристики AIRIT200:</w:t>
      </w:r>
    </w:p>
    <w:bookmarkEnd w:id="30"/>
    <w:p>
      <w:pPr>
        <w:spacing w:after="0"/>
        <w:ind w:left="0"/>
        <w:jc w:val="both"/>
      </w:pPr>
      <w:r>
        <w:rPr>
          <w:rFonts w:ascii="Times New Roman"/>
          <w:b w:val="false"/>
          <w:i w:val="false"/>
          <w:color w:val="000000"/>
          <w:sz w:val="28"/>
        </w:rPr>
        <w:t>
      1) трехфазный индивидуальный двигатель производства Lonne (номинальная мощность 5,5 кВт, F-class, напряжение 400В, частота 50Гц);</w:t>
      </w:r>
    </w:p>
    <w:p>
      <w:pPr>
        <w:spacing w:after="0"/>
        <w:ind w:left="0"/>
        <w:jc w:val="both"/>
      </w:pPr>
      <w:r>
        <w:rPr>
          <w:rFonts w:ascii="Times New Roman"/>
          <w:b w:val="false"/>
          <w:i w:val="false"/>
          <w:color w:val="000000"/>
          <w:sz w:val="28"/>
        </w:rPr>
        <w:t>
      2) электрический кабель (4Gb - может влиять на локальные электрические системы управления; необходим при использовании переменного тока);</w:t>
      </w:r>
    </w:p>
    <w:p>
      <w:pPr>
        <w:spacing w:after="0"/>
        <w:ind w:left="0"/>
        <w:jc w:val="both"/>
      </w:pPr>
      <w:r>
        <w:rPr>
          <w:rFonts w:ascii="Times New Roman"/>
          <w:b w:val="false"/>
          <w:i w:val="false"/>
          <w:color w:val="000000"/>
          <w:sz w:val="28"/>
        </w:rPr>
        <w:t>
      3) вес аэратора с поплавками и без трубы всасывания - около 160 кг;</w:t>
      </w:r>
    </w:p>
    <w:p>
      <w:pPr>
        <w:spacing w:after="0"/>
        <w:ind w:left="0"/>
        <w:jc w:val="both"/>
      </w:pPr>
      <w:r>
        <w:rPr>
          <w:rFonts w:ascii="Times New Roman"/>
          <w:b w:val="false"/>
          <w:i w:val="false"/>
          <w:color w:val="000000"/>
          <w:sz w:val="28"/>
        </w:rPr>
        <w:t>
      4) скорость передачи кислорода аэрации - 8,3 кг О</w:t>
      </w:r>
      <w:r>
        <w:rPr>
          <w:rFonts w:ascii="Times New Roman"/>
          <w:b w:val="false"/>
          <w:i w:val="false"/>
          <w:color w:val="000000"/>
          <w:vertAlign w:val="subscript"/>
        </w:rPr>
        <w:t>2</w:t>
      </w:r>
      <w:r>
        <w:rPr>
          <w:rFonts w:ascii="Times New Roman"/>
          <w:b w:val="false"/>
          <w:i w:val="false"/>
          <w:color w:val="000000"/>
          <w:sz w:val="28"/>
        </w:rPr>
        <w:t>/ч, 20</w:t>
      </w:r>
      <w:r>
        <w:rPr>
          <w:rFonts w:ascii="Times New Roman"/>
          <w:b w:val="false"/>
          <w:i w:val="false"/>
          <w:color w:val="000000"/>
          <w:vertAlign w:val="superscript"/>
        </w:rPr>
        <w:t>0</w:t>
      </w:r>
      <w:r>
        <w:rPr>
          <w:rFonts w:ascii="Times New Roman"/>
          <w:b w:val="false"/>
          <w:i w:val="false"/>
          <w:color w:val="000000"/>
          <w:sz w:val="28"/>
        </w:rPr>
        <w:t xml:space="preserve">С; 230 л/с; </w:t>
      </w:r>
    </w:p>
    <w:p>
      <w:pPr>
        <w:spacing w:after="0"/>
        <w:ind w:left="0"/>
        <w:jc w:val="both"/>
      </w:pPr>
      <w:r>
        <w:rPr>
          <w:rFonts w:ascii="Times New Roman"/>
          <w:b w:val="false"/>
          <w:i w:val="false"/>
          <w:color w:val="000000"/>
          <w:sz w:val="28"/>
        </w:rPr>
        <w:t>
      5) эффективность передачи кислорода- 1,8 кг О</w:t>
      </w:r>
      <w:r>
        <w:rPr>
          <w:rFonts w:ascii="Times New Roman"/>
          <w:b w:val="false"/>
          <w:i w:val="false"/>
          <w:color w:val="000000"/>
          <w:vertAlign w:val="subscript"/>
        </w:rPr>
        <w:t>2</w:t>
      </w:r>
      <w:r>
        <w:rPr>
          <w:rFonts w:ascii="Times New Roman"/>
          <w:b w:val="false"/>
          <w:i w:val="false"/>
          <w:color w:val="000000"/>
          <w:sz w:val="28"/>
        </w:rPr>
        <w:t>/кВТч;</w:t>
      </w:r>
    </w:p>
    <w:p>
      <w:pPr>
        <w:spacing w:after="0"/>
        <w:ind w:left="0"/>
        <w:jc w:val="both"/>
      </w:pPr>
      <w:r>
        <w:rPr>
          <w:rFonts w:ascii="Times New Roman"/>
          <w:b w:val="false"/>
          <w:i w:val="false"/>
          <w:color w:val="000000"/>
          <w:sz w:val="28"/>
        </w:rPr>
        <w:t>
      6) основные размеры с поплавками и без всасывающей трубы - 1500мм х 1500мм х 900мм;</w:t>
      </w:r>
    </w:p>
    <w:p>
      <w:pPr>
        <w:spacing w:after="0"/>
        <w:ind w:left="0"/>
        <w:jc w:val="both"/>
      </w:pPr>
      <w:r>
        <w:rPr>
          <w:rFonts w:ascii="Times New Roman"/>
          <w:b w:val="false"/>
          <w:i w:val="false"/>
          <w:color w:val="000000"/>
          <w:sz w:val="28"/>
        </w:rPr>
        <w:t>
      7) материал: рабочее колесо - легированная специальная бронза, поплавки - пластиковые PUR, РЕ; всасывающая труба - из пластика РЕ;</w:t>
      </w:r>
    </w:p>
    <w:p>
      <w:pPr>
        <w:spacing w:after="0"/>
        <w:ind w:left="0"/>
        <w:jc w:val="both"/>
      </w:pPr>
      <w:r>
        <w:rPr>
          <w:rFonts w:ascii="Times New Roman"/>
          <w:b w:val="false"/>
          <w:i w:val="false"/>
          <w:color w:val="000000"/>
          <w:sz w:val="28"/>
        </w:rPr>
        <w:t>
      8) параметры: частотный преобразователь (AC-drive) тип АС4А0018АА; класс защиты IP20; программное обеспечение Waterix; доступна очистка рабочего колеса.</w:t>
      </w:r>
    </w:p>
    <w:bookmarkStart w:name="z33" w:id="31"/>
    <w:p>
      <w:pPr>
        <w:spacing w:after="0"/>
        <w:ind w:left="0"/>
        <w:jc w:val="both"/>
      </w:pPr>
      <w:r>
        <w:rPr>
          <w:rFonts w:ascii="Times New Roman"/>
          <w:b w:val="false"/>
          <w:i w:val="false"/>
          <w:color w:val="000000"/>
          <w:sz w:val="28"/>
        </w:rPr>
        <w:t>
      22. Содержание работы. Кислородное насыщение воды аэратором.</w:t>
      </w:r>
    </w:p>
    <w:bookmarkEnd w:id="31"/>
    <w:p>
      <w:pPr>
        <w:spacing w:after="0"/>
        <w:ind w:left="0"/>
        <w:jc w:val="both"/>
      </w:pPr>
      <w:r>
        <w:rPr>
          <w:rFonts w:ascii="Times New Roman"/>
          <w:b w:val="false"/>
          <w:i w:val="false"/>
          <w:color w:val="000000"/>
          <w:sz w:val="28"/>
        </w:rPr>
        <w:t>
      При расходах на насыщение воды кислородом аэратором Waterix AIRIT200 с флотатором (Финляндия) с входящими трубками и монтажным оборудованием с подводкой электрокабеля сечением (4х6мм</w:t>
      </w:r>
      <w:r>
        <w:rPr>
          <w:rFonts w:ascii="Times New Roman"/>
          <w:b w:val="false"/>
          <w:i w:val="false"/>
          <w:color w:val="000000"/>
          <w:vertAlign w:val="superscript"/>
        </w:rPr>
        <w:t>2</w:t>
      </w:r>
      <w:r>
        <w:rPr>
          <w:rFonts w:ascii="Times New Roman"/>
          <w:b w:val="false"/>
          <w:i w:val="false"/>
          <w:color w:val="000000"/>
          <w:sz w:val="28"/>
        </w:rPr>
        <w:t>)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электроэнергии и кабеля;</w:t>
      </w:r>
    </w:p>
    <w:p>
      <w:pPr>
        <w:spacing w:after="0"/>
        <w:ind w:left="0"/>
        <w:jc w:val="both"/>
      </w:pPr>
      <w:r>
        <w:rPr>
          <w:rFonts w:ascii="Times New Roman"/>
          <w:b w:val="false"/>
          <w:i w:val="false"/>
          <w:color w:val="000000"/>
          <w:sz w:val="28"/>
        </w:rPr>
        <w:t>
      5)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xml:space="preserve">
      6) шефмонтаж технологического оборудования. </w:t>
      </w:r>
    </w:p>
    <w:p>
      <w:pPr>
        <w:spacing w:after="0"/>
        <w:ind w:left="0"/>
        <w:jc w:val="both"/>
      </w:pPr>
      <w:r>
        <w:rPr>
          <w:rFonts w:ascii="Times New Roman"/>
          <w:b w:val="false"/>
          <w:i w:val="false"/>
          <w:color w:val="000000"/>
          <w:sz w:val="28"/>
        </w:rPr>
        <w:t>
      Конечный результат: насыщение воды кислородом.</w:t>
      </w:r>
    </w:p>
    <w:p>
      <w:pPr>
        <w:spacing w:after="0"/>
        <w:ind w:left="0"/>
        <w:jc w:val="both"/>
      </w:pPr>
      <w:r>
        <w:rPr>
          <w:rFonts w:ascii="Times New Roman"/>
          <w:b w:val="false"/>
          <w:i w:val="false"/>
          <w:color w:val="000000"/>
          <w:sz w:val="28"/>
        </w:rPr>
        <w:t>
      Единица измерения: 1м</w:t>
      </w:r>
      <w:r>
        <w:rPr>
          <w:rFonts w:ascii="Times New Roman"/>
          <w:b w:val="false"/>
          <w:i w:val="false"/>
          <w:color w:val="000000"/>
          <w:vertAlign w:val="superscript"/>
        </w:rPr>
        <w:t>3</w:t>
      </w:r>
      <w:r>
        <w:rPr>
          <w:rFonts w:ascii="Times New Roman"/>
          <w:b w:val="false"/>
          <w:i w:val="false"/>
          <w:color w:val="000000"/>
          <w:sz w:val="28"/>
        </w:rPr>
        <w:t xml:space="preserve"> насыщаемой кислородом воды.</w:t>
      </w:r>
    </w:p>
    <w:bookmarkStart w:name="z34" w:id="32"/>
    <w:p>
      <w:pPr>
        <w:spacing w:after="0"/>
        <w:ind w:left="0"/>
        <w:jc w:val="both"/>
      </w:pPr>
      <w:r>
        <w:rPr>
          <w:rFonts w:ascii="Times New Roman"/>
          <w:b w:val="false"/>
          <w:i w:val="false"/>
          <w:color w:val="000000"/>
          <w:sz w:val="28"/>
        </w:rPr>
        <w:t>
      23. Биоинженерный способ улучшения качества воды осуществляется путем создания гидравлической системы аэрации аэратором Waterix AIRIT70 с флотатором (Финляндия) с входящими трубками и монтажным оборудованием с подводкой электрокабеля сечением (4x</w:t>
      </w:r>
      <w:r>
        <w:rPr>
          <w:rFonts w:ascii="Times New Roman"/>
          <w:b w:val="false"/>
          <w:i w:val="false"/>
          <w:color w:val="000000"/>
          <w:vertAlign w:val="superscript"/>
        </w:rPr>
        <w:t>2</w:t>
      </w:r>
      <w:r>
        <w:rPr>
          <w:rFonts w:ascii="Times New Roman"/>
          <w:b w:val="false"/>
          <w:i w:val="false"/>
          <w:color w:val="000000"/>
          <w:sz w:val="28"/>
        </w:rPr>
        <w:t>,5мм</w:t>
      </w:r>
      <w:r>
        <w:rPr>
          <w:rFonts w:ascii="Times New Roman"/>
          <w:b w:val="false"/>
          <w:i w:val="false"/>
          <w:color w:val="000000"/>
          <w:vertAlign w:val="superscript"/>
        </w:rPr>
        <w:t>2</w:t>
      </w:r>
      <w:r>
        <w:rPr>
          <w:rFonts w:ascii="Times New Roman"/>
          <w:b w:val="false"/>
          <w:i w:val="false"/>
          <w:color w:val="000000"/>
          <w:sz w:val="28"/>
        </w:rPr>
        <w:t xml:space="preserve">). Для системы аэрации используется аэратор Waterix AIRIT70 с флотатором (Финляндия). Количество аэраторов определено финской компанией "АНМА" по следующим параметрам: площадь зеркала озера, глубина озера, содержание кислорода. </w:t>
      </w:r>
    </w:p>
    <w:bookmarkEnd w:id="32"/>
    <w:bookmarkStart w:name="z35" w:id="33"/>
    <w:p>
      <w:pPr>
        <w:spacing w:after="0"/>
        <w:ind w:left="0"/>
        <w:jc w:val="both"/>
      </w:pPr>
      <w:r>
        <w:rPr>
          <w:rFonts w:ascii="Times New Roman"/>
          <w:b w:val="false"/>
          <w:i w:val="false"/>
          <w:color w:val="000000"/>
          <w:sz w:val="28"/>
        </w:rPr>
        <w:t>
      24. Принцип работы аэраторов AIRIT70:</w:t>
      </w:r>
    </w:p>
    <w:bookmarkEnd w:id="33"/>
    <w:p>
      <w:pPr>
        <w:spacing w:after="0"/>
        <w:ind w:left="0"/>
        <w:jc w:val="both"/>
      </w:pPr>
      <w:r>
        <w:rPr>
          <w:rFonts w:ascii="Times New Roman"/>
          <w:b w:val="false"/>
          <w:i w:val="false"/>
          <w:color w:val="000000"/>
          <w:sz w:val="28"/>
        </w:rPr>
        <w:t>
      1) насосы поднимают воду с помощью пропеллера через всасывающую трубу. Нижняя часть всасывающей трубы находится на расстоянии 1-2,5м от дна озера;</w:t>
      </w:r>
    </w:p>
    <w:p>
      <w:pPr>
        <w:spacing w:after="0"/>
        <w:ind w:left="0"/>
        <w:jc w:val="both"/>
      </w:pPr>
      <w:r>
        <w:rPr>
          <w:rFonts w:ascii="Times New Roman"/>
          <w:b w:val="false"/>
          <w:i w:val="false"/>
          <w:color w:val="000000"/>
          <w:sz w:val="28"/>
        </w:rPr>
        <w:t>
      2) центробежный насос выбрасывает воду на 360 градусов;</w:t>
      </w:r>
    </w:p>
    <w:p>
      <w:pPr>
        <w:spacing w:after="0"/>
        <w:ind w:left="0"/>
        <w:jc w:val="both"/>
      </w:pPr>
      <w:r>
        <w:rPr>
          <w:rFonts w:ascii="Times New Roman"/>
          <w:b w:val="false"/>
          <w:i w:val="false"/>
          <w:color w:val="000000"/>
          <w:sz w:val="28"/>
        </w:rPr>
        <w:t>
      3) производится аэрация.</w:t>
      </w:r>
    </w:p>
    <w:p>
      <w:pPr>
        <w:spacing w:after="0"/>
        <w:ind w:left="0"/>
        <w:jc w:val="both"/>
      </w:pPr>
      <w:r>
        <w:rPr>
          <w:rFonts w:ascii="Times New Roman"/>
          <w:b w:val="false"/>
          <w:i w:val="false"/>
          <w:color w:val="000000"/>
          <w:sz w:val="28"/>
        </w:rPr>
        <w:t>
      Преимущества аэратора: за счет широкой всасывающей трубы сопротивление потока примерно в три раза меньше, чем с узкой трубой, что дает более высокую производительность аэратора даже в более глубоких местах.</w:t>
      </w:r>
    </w:p>
    <w:bookmarkStart w:name="z36" w:id="34"/>
    <w:p>
      <w:pPr>
        <w:spacing w:after="0"/>
        <w:ind w:left="0"/>
        <w:jc w:val="both"/>
      </w:pPr>
      <w:r>
        <w:rPr>
          <w:rFonts w:ascii="Times New Roman"/>
          <w:b w:val="false"/>
          <w:i w:val="false"/>
          <w:color w:val="000000"/>
          <w:sz w:val="28"/>
        </w:rPr>
        <w:t>
      25. Основные технические характеристики AIRIT70:</w:t>
      </w:r>
    </w:p>
    <w:bookmarkEnd w:id="34"/>
    <w:p>
      <w:pPr>
        <w:spacing w:after="0"/>
        <w:ind w:left="0"/>
        <w:jc w:val="both"/>
      </w:pPr>
      <w:r>
        <w:rPr>
          <w:rFonts w:ascii="Times New Roman"/>
          <w:b w:val="false"/>
          <w:i w:val="false"/>
          <w:color w:val="000000"/>
          <w:sz w:val="28"/>
        </w:rPr>
        <w:t>
      1) трехфазный индивидуальный двигатель производства Lonne (номинальная мощность 1,5 кВт, F-class, напряжение 400В, частота 50Гц);</w:t>
      </w:r>
    </w:p>
    <w:p>
      <w:pPr>
        <w:spacing w:after="0"/>
        <w:ind w:left="0"/>
        <w:jc w:val="both"/>
      </w:pPr>
      <w:r>
        <w:rPr>
          <w:rFonts w:ascii="Times New Roman"/>
          <w:b w:val="false"/>
          <w:i w:val="false"/>
          <w:color w:val="000000"/>
          <w:sz w:val="28"/>
        </w:rPr>
        <w:t>
      2) электрический кабель (4Gb - может влиять на локальные электрические системы управления; необходим при использовании переменного тока);</w:t>
      </w:r>
    </w:p>
    <w:p>
      <w:pPr>
        <w:spacing w:after="0"/>
        <w:ind w:left="0"/>
        <w:jc w:val="both"/>
      </w:pPr>
      <w:r>
        <w:rPr>
          <w:rFonts w:ascii="Times New Roman"/>
          <w:b w:val="false"/>
          <w:i w:val="false"/>
          <w:color w:val="000000"/>
          <w:sz w:val="28"/>
        </w:rPr>
        <w:t>
      3) вес аэратора с поплавками и без трубы всасывания - около 69 кг;</w:t>
      </w:r>
    </w:p>
    <w:p>
      <w:pPr>
        <w:spacing w:after="0"/>
        <w:ind w:left="0"/>
        <w:jc w:val="both"/>
      </w:pPr>
      <w:r>
        <w:rPr>
          <w:rFonts w:ascii="Times New Roman"/>
          <w:b w:val="false"/>
          <w:i w:val="false"/>
          <w:color w:val="000000"/>
          <w:sz w:val="28"/>
        </w:rPr>
        <w:t>
      4) скорость передачи кислорода аэрации - 3 кг О</w:t>
      </w:r>
      <w:r>
        <w:rPr>
          <w:rFonts w:ascii="Times New Roman"/>
          <w:b w:val="false"/>
          <w:i w:val="false"/>
          <w:color w:val="000000"/>
          <w:vertAlign w:val="subscript"/>
        </w:rPr>
        <w:t>2</w:t>
      </w:r>
      <w:r>
        <w:rPr>
          <w:rFonts w:ascii="Times New Roman"/>
          <w:b w:val="false"/>
          <w:i w:val="false"/>
          <w:color w:val="000000"/>
          <w:sz w:val="28"/>
        </w:rPr>
        <w:t>/ч, 20</w:t>
      </w:r>
      <w:r>
        <w:rPr>
          <w:rFonts w:ascii="Times New Roman"/>
          <w:b w:val="false"/>
          <w:i w:val="false"/>
          <w:color w:val="000000"/>
          <w:vertAlign w:val="superscript"/>
        </w:rPr>
        <w:t>0</w:t>
      </w:r>
      <w:r>
        <w:rPr>
          <w:rFonts w:ascii="Times New Roman"/>
          <w:b w:val="false"/>
          <w:i w:val="false"/>
          <w:color w:val="000000"/>
          <w:sz w:val="28"/>
        </w:rPr>
        <w:t>C; 230 л/с;</w:t>
      </w:r>
    </w:p>
    <w:p>
      <w:pPr>
        <w:spacing w:after="0"/>
        <w:ind w:left="0"/>
        <w:jc w:val="both"/>
      </w:pPr>
      <w:r>
        <w:rPr>
          <w:rFonts w:ascii="Times New Roman"/>
          <w:b w:val="false"/>
          <w:i w:val="false"/>
          <w:color w:val="000000"/>
          <w:sz w:val="28"/>
        </w:rPr>
        <w:t>
      5) эффективность передачи кислорода - 2 кг О</w:t>
      </w:r>
      <w:r>
        <w:rPr>
          <w:rFonts w:ascii="Times New Roman"/>
          <w:b w:val="false"/>
          <w:i w:val="false"/>
          <w:color w:val="000000"/>
          <w:vertAlign w:val="subscript"/>
        </w:rPr>
        <w:t>2</w:t>
      </w:r>
      <w:r>
        <w:rPr>
          <w:rFonts w:ascii="Times New Roman"/>
          <w:b w:val="false"/>
          <w:i w:val="false"/>
          <w:color w:val="000000"/>
          <w:sz w:val="28"/>
        </w:rPr>
        <w:t xml:space="preserve"> кВТч:</w:t>
      </w:r>
    </w:p>
    <w:p>
      <w:pPr>
        <w:spacing w:after="0"/>
        <w:ind w:left="0"/>
        <w:jc w:val="both"/>
      </w:pPr>
      <w:r>
        <w:rPr>
          <w:rFonts w:ascii="Times New Roman"/>
          <w:b w:val="false"/>
          <w:i w:val="false"/>
          <w:color w:val="000000"/>
          <w:sz w:val="28"/>
        </w:rPr>
        <w:t>
      6) основные размеры с поплавками и без всасывающей трубы - 1000мм х 1000мм х 550мм;</w:t>
      </w:r>
    </w:p>
    <w:p>
      <w:pPr>
        <w:spacing w:after="0"/>
        <w:ind w:left="0"/>
        <w:jc w:val="both"/>
      </w:pPr>
      <w:r>
        <w:rPr>
          <w:rFonts w:ascii="Times New Roman"/>
          <w:b w:val="false"/>
          <w:i w:val="false"/>
          <w:color w:val="000000"/>
          <w:sz w:val="28"/>
        </w:rPr>
        <w:t>
      7) материал: рабочее колесо - легированная специальная бронза, поплавки - пластиковые PUR, РЕ; всасывающая труба - из пластика РЕ;</w:t>
      </w:r>
    </w:p>
    <w:p>
      <w:pPr>
        <w:spacing w:after="0"/>
        <w:ind w:left="0"/>
        <w:jc w:val="both"/>
      </w:pPr>
      <w:r>
        <w:rPr>
          <w:rFonts w:ascii="Times New Roman"/>
          <w:b w:val="false"/>
          <w:i w:val="false"/>
          <w:color w:val="000000"/>
          <w:sz w:val="28"/>
        </w:rPr>
        <w:t>
      8) параметры: частотный преобразователь (AC-drive) тип АС4А0018АА; класс защиты IP20; программное обеспечение Waterix; доступна очистка рабочего колеса.</w:t>
      </w:r>
    </w:p>
    <w:p>
      <w:pPr>
        <w:spacing w:after="0"/>
        <w:ind w:left="0"/>
        <w:jc w:val="both"/>
      </w:pPr>
      <w:r>
        <w:rPr>
          <w:rFonts w:ascii="Times New Roman"/>
          <w:b w:val="false"/>
          <w:i w:val="false"/>
          <w:color w:val="000000"/>
          <w:sz w:val="28"/>
        </w:rPr>
        <w:t>
      В период восстановительных работ осуществляется систематический контроль эффективности работы аэратора перед его установкой, после механической очистки водоемов проводится химический анализ воды и далее через каждые 10-15 дней до восстановления кислородного баланса в водоеме.</w:t>
      </w:r>
    </w:p>
    <w:bookmarkStart w:name="z37" w:id="35"/>
    <w:p>
      <w:pPr>
        <w:spacing w:after="0"/>
        <w:ind w:left="0"/>
        <w:jc w:val="both"/>
      </w:pPr>
      <w:r>
        <w:rPr>
          <w:rFonts w:ascii="Times New Roman"/>
          <w:b w:val="false"/>
          <w:i w:val="false"/>
          <w:color w:val="000000"/>
          <w:sz w:val="28"/>
        </w:rPr>
        <w:t>
      26. Содержание работы. Кислородное насыщение воды аэратором.</w:t>
      </w:r>
    </w:p>
    <w:bookmarkEnd w:id="35"/>
    <w:p>
      <w:pPr>
        <w:spacing w:after="0"/>
        <w:ind w:left="0"/>
        <w:jc w:val="both"/>
      </w:pPr>
      <w:r>
        <w:rPr>
          <w:rFonts w:ascii="Times New Roman"/>
          <w:b w:val="false"/>
          <w:i w:val="false"/>
          <w:color w:val="000000"/>
          <w:sz w:val="28"/>
        </w:rPr>
        <w:t>
      При расходах на насыщение воды кислородом аэратором Waterix AIRIT70 с флотатором (Финляндия) с входящими трубками и монтажным оборудованием с подводкой электрокабеля сечением (4x2,5мм</w:t>
      </w:r>
      <w:r>
        <w:rPr>
          <w:rFonts w:ascii="Times New Roman"/>
          <w:b w:val="false"/>
          <w:i w:val="false"/>
          <w:color w:val="000000"/>
          <w:vertAlign w:val="superscript"/>
        </w:rPr>
        <w:t>2</w:t>
      </w:r>
      <w:r>
        <w:rPr>
          <w:rFonts w:ascii="Times New Roman"/>
          <w:b w:val="false"/>
          <w:i w:val="false"/>
          <w:color w:val="000000"/>
          <w:sz w:val="28"/>
        </w:rPr>
        <w:t xml:space="preserve">) учитываются расходы по всем составным элементам технологического процесса. В них включены: </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xml:space="preserve">
      2) обязательные отчисления в фонды; </w:t>
      </w:r>
    </w:p>
    <w:p>
      <w:pPr>
        <w:spacing w:after="0"/>
        <w:ind w:left="0"/>
        <w:jc w:val="both"/>
      </w:pPr>
      <w:r>
        <w:rPr>
          <w:rFonts w:ascii="Times New Roman"/>
          <w:b w:val="false"/>
          <w:i w:val="false"/>
          <w:color w:val="000000"/>
          <w:sz w:val="28"/>
        </w:rPr>
        <w:t xml:space="preserve">
      3) амортизация оборудования и инструментов; </w:t>
      </w:r>
    </w:p>
    <w:p>
      <w:pPr>
        <w:spacing w:after="0"/>
        <w:ind w:left="0"/>
        <w:jc w:val="both"/>
      </w:pPr>
      <w:r>
        <w:rPr>
          <w:rFonts w:ascii="Times New Roman"/>
          <w:b w:val="false"/>
          <w:i w:val="false"/>
          <w:color w:val="000000"/>
          <w:sz w:val="28"/>
        </w:rPr>
        <w:t xml:space="preserve">
      4) стоимость электроэнергии и кабеля; </w:t>
      </w:r>
    </w:p>
    <w:p>
      <w:pPr>
        <w:spacing w:after="0"/>
        <w:ind w:left="0"/>
        <w:jc w:val="both"/>
      </w:pPr>
      <w:r>
        <w:rPr>
          <w:rFonts w:ascii="Times New Roman"/>
          <w:b w:val="false"/>
          <w:i w:val="false"/>
          <w:color w:val="000000"/>
          <w:sz w:val="28"/>
        </w:rPr>
        <w:t xml:space="preserve">
      5) транспортные расходы на вывоз технологического оборудования до места эксплуатации и обратно; </w:t>
      </w:r>
    </w:p>
    <w:p>
      <w:pPr>
        <w:spacing w:after="0"/>
        <w:ind w:left="0"/>
        <w:jc w:val="both"/>
      </w:pPr>
      <w:r>
        <w:rPr>
          <w:rFonts w:ascii="Times New Roman"/>
          <w:b w:val="false"/>
          <w:i w:val="false"/>
          <w:color w:val="000000"/>
          <w:sz w:val="28"/>
        </w:rPr>
        <w:t xml:space="preserve">
      6) шефмонтаж технологического оборудования. </w:t>
      </w:r>
    </w:p>
    <w:p>
      <w:pPr>
        <w:spacing w:after="0"/>
        <w:ind w:left="0"/>
        <w:jc w:val="both"/>
      </w:pPr>
      <w:r>
        <w:rPr>
          <w:rFonts w:ascii="Times New Roman"/>
          <w:b w:val="false"/>
          <w:i w:val="false"/>
          <w:color w:val="000000"/>
          <w:sz w:val="28"/>
        </w:rPr>
        <w:t xml:space="preserve">
      Конечный результат: насыщение воды кислородом. </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насыщаемой кислородом воды.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октября 2014 года № 57 </w:t>
            </w:r>
          </w:p>
        </w:tc>
      </w:tr>
    </w:tbl>
    <w:bookmarkStart w:name="z39" w:id="36"/>
    <w:p>
      <w:pPr>
        <w:spacing w:after="0"/>
        <w:ind w:left="0"/>
        <w:jc w:val="left"/>
      </w:pPr>
      <w:r>
        <w:rPr>
          <w:rFonts w:ascii="Times New Roman"/>
          <w:b/>
          <w:i w:val="false"/>
          <w:color w:val="000000"/>
        </w:rPr>
        <w:t xml:space="preserve"> Экологические нормативы и экологические требования по</w:t>
      </w:r>
      <w:r>
        <w:br/>
      </w:r>
      <w:r>
        <w:rPr>
          <w:rFonts w:ascii="Times New Roman"/>
          <w:b/>
          <w:i w:val="false"/>
          <w:color w:val="000000"/>
        </w:rPr>
        <w:t>хозяйственной и иной деятельности, связанной с подземным</w:t>
      </w:r>
      <w:r>
        <w:br/>
      </w:r>
      <w:r>
        <w:rPr>
          <w:rFonts w:ascii="Times New Roman"/>
          <w:b/>
          <w:i w:val="false"/>
          <w:color w:val="000000"/>
        </w:rPr>
        <w:t>захоронением отходов</w:t>
      </w:r>
    </w:p>
    <w:bookmarkEnd w:id="36"/>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энергетики РК от 06.01.2016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7"/>
    <w:p>
      <w:pPr>
        <w:spacing w:after="0"/>
        <w:ind w:left="0"/>
        <w:jc w:val="left"/>
      </w:pPr>
      <w:r>
        <w:rPr>
          <w:rFonts w:ascii="Times New Roman"/>
          <w:b/>
          <w:i w:val="false"/>
          <w:color w:val="000000"/>
        </w:rPr>
        <w:t xml:space="preserve">  1. Общие положения</w:t>
      </w:r>
    </w:p>
    <w:bookmarkEnd w:id="37"/>
    <w:bookmarkStart w:name="z41" w:id="38"/>
    <w:p>
      <w:pPr>
        <w:spacing w:after="0"/>
        <w:ind w:left="0"/>
        <w:jc w:val="both"/>
      </w:pPr>
      <w:r>
        <w:rPr>
          <w:rFonts w:ascii="Times New Roman"/>
          <w:b w:val="false"/>
          <w:i w:val="false"/>
          <w:color w:val="000000"/>
          <w:sz w:val="28"/>
        </w:rPr>
        <w:t>
      1. Настоящие экологические нормативы и экологические требования по хозяйственной и иной деятельности, связанной с подземным захоронением отходов требования (далее - Требования) предназначены для физических и юридических лиц, независимо от форм собственности, занимающихся разработкой проектной документации, строительством и эксплуатацией мест по подземному захоронению мышьяксодержащих отходов свинцового и медного металлургических производств (далее - мышьяксодержащие отходы), а также собственников отходов и устанавливают экологические нормативы и требования в местах подземного захоронения.</w:t>
      </w:r>
    </w:p>
    <w:bookmarkEnd w:id="38"/>
    <w:bookmarkStart w:name="z42" w:id="39"/>
    <w:p>
      <w:pPr>
        <w:spacing w:after="0"/>
        <w:ind w:left="0"/>
        <w:jc w:val="both"/>
      </w:pPr>
      <w:r>
        <w:rPr>
          <w:rFonts w:ascii="Times New Roman"/>
          <w:b w:val="false"/>
          <w:i w:val="false"/>
          <w:color w:val="000000"/>
          <w:sz w:val="28"/>
        </w:rPr>
        <w:t>
      2. Настоящие Требования разработаны в целях систематизации экологических нормативов и требований, а также выработки единого подхода к выполнению работ по захоронению мышьяксодержащих отходов в местах подземного захоронения и предназначены для контроля и обеспечения экологической безопасности при работе с мышьяксодержащими отходами с целью предотвращения их вредного воздействия на окружающую среду и здоровье человека.</w:t>
      </w:r>
    </w:p>
    <w:bookmarkEnd w:id="39"/>
    <w:bookmarkStart w:name="z43" w:id="40"/>
    <w:p>
      <w:pPr>
        <w:spacing w:after="0"/>
        <w:ind w:left="0"/>
        <w:jc w:val="both"/>
      </w:pPr>
      <w:r>
        <w:rPr>
          <w:rFonts w:ascii="Times New Roman"/>
          <w:b w:val="false"/>
          <w:i w:val="false"/>
          <w:color w:val="000000"/>
          <w:sz w:val="28"/>
        </w:rPr>
        <w:t>
      3. Местом подземного захоронения является совокупность наземной зоны размещения вспомогательных объектов и зоны подземного захоронения, а именно отработанных сухих незатапливаемых горных выработок и шахтных пустот рудников, находящихся выше уровня верхнего подземного водного горизонта, используемых непосредственно для захоронения отходов производства и потребления.</w:t>
      </w:r>
    </w:p>
    <w:bookmarkEnd w:id="40"/>
    <w:bookmarkStart w:name="z44" w:id="41"/>
    <w:p>
      <w:pPr>
        <w:spacing w:after="0"/>
        <w:ind w:left="0"/>
        <w:jc w:val="both"/>
      </w:pPr>
      <w:r>
        <w:rPr>
          <w:rFonts w:ascii="Times New Roman"/>
          <w:b w:val="false"/>
          <w:i w:val="false"/>
          <w:color w:val="000000"/>
          <w:sz w:val="28"/>
        </w:rPr>
        <w:t>
      4. Требования распространяются на мышьяксодержащие отходы, показатели которых ограничены настоящими Требованиями.</w:t>
      </w:r>
    </w:p>
    <w:bookmarkEnd w:id="41"/>
    <w:bookmarkStart w:name="z45" w:id="42"/>
    <w:p>
      <w:pPr>
        <w:spacing w:after="0"/>
        <w:ind w:left="0"/>
        <w:jc w:val="both"/>
      </w:pPr>
      <w:r>
        <w:rPr>
          <w:rFonts w:ascii="Times New Roman"/>
          <w:b w:val="false"/>
          <w:i w:val="false"/>
          <w:color w:val="000000"/>
          <w:sz w:val="28"/>
        </w:rPr>
        <w:t>
      5. Места подземного захоронения мышьяксодержащих отходов предназначены для их постоянного размещения без намерения изъятия.</w:t>
      </w:r>
    </w:p>
    <w:bookmarkEnd w:id="42"/>
    <w:bookmarkStart w:name="z46" w:id="43"/>
    <w:p>
      <w:pPr>
        <w:spacing w:after="0"/>
        <w:ind w:left="0"/>
        <w:jc w:val="both"/>
      </w:pPr>
      <w:r>
        <w:rPr>
          <w:rFonts w:ascii="Times New Roman"/>
          <w:b w:val="false"/>
          <w:i w:val="false"/>
          <w:color w:val="000000"/>
          <w:sz w:val="28"/>
        </w:rPr>
        <w:t xml:space="preserve">
      6. Захоронение мышьяксодержащих отходов в места подземного захоронения осуществляется природопользователем при наличии положительного заключения государственной экологической экспертизы к проектной документации на строительство, обустройство и эксплуатацию мест подземного захоронения (далее - проектная документации), в соответствии с частью первой </w:t>
      </w:r>
      <w:r>
        <w:rPr>
          <w:rFonts w:ascii="Times New Roman"/>
          <w:b w:val="false"/>
          <w:i w:val="false"/>
          <w:color w:val="000000"/>
          <w:sz w:val="28"/>
        </w:rPr>
        <w:t>статьи 202</w:t>
      </w:r>
      <w:r>
        <w:rPr>
          <w:rFonts w:ascii="Times New Roman"/>
          <w:b w:val="false"/>
          <w:i w:val="false"/>
          <w:color w:val="000000"/>
          <w:sz w:val="28"/>
        </w:rPr>
        <w:t xml:space="preserve"> Экологического Кодекса Республики Казахстан (далее - Кодекс). </w:t>
      </w:r>
    </w:p>
    <w:bookmarkEnd w:id="43"/>
    <w:bookmarkStart w:name="z47" w:id="44"/>
    <w:p>
      <w:pPr>
        <w:spacing w:after="0"/>
        <w:ind w:left="0"/>
        <w:jc w:val="both"/>
      </w:pPr>
      <w:r>
        <w:rPr>
          <w:rFonts w:ascii="Times New Roman"/>
          <w:b w:val="false"/>
          <w:i w:val="false"/>
          <w:color w:val="000000"/>
          <w:sz w:val="28"/>
        </w:rPr>
        <w:t>
      7. Количество и вмещающая способность мест подземного захоронения отходов определяются проектной документацией.</w:t>
      </w:r>
    </w:p>
    <w:bookmarkEnd w:id="44"/>
    <w:bookmarkStart w:name="z48" w:id="45"/>
    <w:p>
      <w:pPr>
        <w:spacing w:after="0"/>
        <w:ind w:left="0"/>
        <w:jc w:val="left"/>
      </w:pPr>
      <w:r>
        <w:rPr>
          <w:rFonts w:ascii="Times New Roman"/>
          <w:b/>
          <w:i w:val="false"/>
          <w:color w:val="000000"/>
        </w:rPr>
        <w:t xml:space="preserve"> 2. Экологические нормативы и требования к определению мест</w:t>
      </w:r>
      <w:r>
        <w:br/>
      </w:r>
      <w:r>
        <w:rPr>
          <w:rFonts w:ascii="Times New Roman"/>
          <w:b/>
          <w:i w:val="false"/>
          <w:color w:val="000000"/>
        </w:rPr>
        <w:t>подземного захоронения мышьяксодержащих отходов</w:t>
      </w:r>
    </w:p>
    <w:bookmarkEnd w:id="45"/>
    <w:bookmarkStart w:name="z49" w:id="46"/>
    <w:p>
      <w:pPr>
        <w:spacing w:after="0"/>
        <w:ind w:left="0"/>
        <w:jc w:val="both"/>
      </w:pPr>
      <w:r>
        <w:rPr>
          <w:rFonts w:ascii="Times New Roman"/>
          <w:b w:val="false"/>
          <w:i w:val="false"/>
          <w:color w:val="000000"/>
          <w:sz w:val="28"/>
        </w:rPr>
        <w:t>
      8. Места подземного захоронения мышьяксодержащих отходов являются природоохранными инженерными сооружениями и предназначены для централизованного захоронения мышьяксодержащих отходов и обеспечивают изоляцию вредных веществ от окружающей среды.</w:t>
      </w:r>
    </w:p>
    <w:bookmarkEnd w:id="46"/>
    <w:bookmarkStart w:name="z50" w:id="47"/>
    <w:p>
      <w:pPr>
        <w:spacing w:after="0"/>
        <w:ind w:left="0"/>
        <w:jc w:val="both"/>
      </w:pPr>
      <w:r>
        <w:rPr>
          <w:rFonts w:ascii="Times New Roman"/>
          <w:b w:val="false"/>
          <w:i w:val="false"/>
          <w:color w:val="000000"/>
          <w:sz w:val="28"/>
        </w:rPr>
        <w:t xml:space="preserve">
      9. Проектирование и строительство мест подземного захоронения мышьяксодержащих отходов осуществляется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113 Закона Республики Казахстан "О недрах и недропользовании".</w:t>
      </w:r>
    </w:p>
    <w:bookmarkEnd w:id="47"/>
    <w:bookmarkStart w:name="z51" w:id="48"/>
    <w:p>
      <w:pPr>
        <w:spacing w:after="0"/>
        <w:ind w:left="0"/>
        <w:jc w:val="both"/>
      </w:pPr>
      <w:r>
        <w:rPr>
          <w:rFonts w:ascii="Times New Roman"/>
          <w:b w:val="false"/>
          <w:i w:val="false"/>
          <w:color w:val="000000"/>
          <w:sz w:val="28"/>
        </w:rPr>
        <w:t>
      10. Для подземного захоронения отходов используются сухие незатапливаемые горные выработки (штольни, бремсберги, уклоны, квершлаги) и шахтные пустоты рудников, в которых отсутствует залегание полезных ископаемых (отработанные рудники) и не ведутся горные работы.</w:t>
      </w:r>
    </w:p>
    <w:bookmarkEnd w:id="48"/>
    <w:bookmarkStart w:name="z52" w:id="49"/>
    <w:p>
      <w:pPr>
        <w:spacing w:after="0"/>
        <w:ind w:left="0"/>
        <w:jc w:val="both"/>
      </w:pPr>
      <w:r>
        <w:rPr>
          <w:rFonts w:ascii="Times New Roman"/>
          <w:b w:val="false"/>
          <w:i w:val="false"/>
          <w:color w:val="000000"/>
          <w:sz w:val="28"/>
        </w:rPr>
        <w:t xml:space="preserve">
      11. Для признания горных выработок и шахтных рудников сухими, природопользователем проводятся гидрогеологические изыскания, по результатам которых проводится комиссионное обследование с составлением соответствующего акта обследования. </w:t>
      </w:r>
    </w:p>
    <w:bookmarkEnd w:id="49"/>
    <w:bookmarkStart w:name="z53" w:id="50"/>
    <w:p>
      <w:pPr>
        <w:spacing w:after="0"/>
        <w:ind w:left="0"/>
        <w:jc w:val="both"/>
      </w:pPr>
      <w:r>
        <w:rPr>
          <w:rFonts w:ascii="Times New Roman"/>
          <w:b w:val="false"/>
          <w:i w:val="false"/>
          <w:color w:val="000000"/>
          <w:sz w:val="28"/>
        </w:rPr>
        <w:t>
      12. Определение мест подземного захоронения мышьяксодержащих отходов осуществляется на основе специальных (инженерно-геологических, гидрогеологических) исследований, отраженных в проектной документации.</w:t>
      </w:r>
    </w:p>
    <w:bookmarkEnd w:id="50"/>
    <w:bookmarkStart w:name="z54" w:id="51"/>
    <w:p>
      <w:pPr>
        <w:spacing w:after="0"/>
        <w:ind w:left="0"/>
        <w:jc w:val="both"/>
      </w:pPr>
      <w:r>
        <w:rPr>
          <w:rFonts w:ascii="Times New Roman"/>
          <w:b w:val="false"/>
          <w:i w:val="false"/>
          <w:color w:val="000000"/>
          <w:sz w:val="28"/>
        </w:rPr>
        <w:t>
      13. Геологические исследования и последующие инженерные изыскания для подготовки обоснований строительства объектов и сооружений для подземного захоронения мышьяксодержащих отходов обеспечивают получение необходимых и достаточных материалов (данных) о природных и техногенных условиях намеченных вариантов мест подземного захоронения для:</w:t>
      </w:r>
    </w:p>
    <w:bookmarkEnd w:id="51"/>
    <w:p>
      <w:pPr>
        <w:spacing w:after="0"/>
        <w:ind w:left="0"/>
        <w:jc w:val="both"/>
      </w:pPr>
      <w:r>
        <w:rPr>
          <w:rFonts w:ascii="Times New Roman"/>
          <w:b w:val="false"/>
          <w:i w:val="false"/>
          <w:color w:val="000000"/>
          <w:sz w:val="28"/>
        </w:rPr>
        <w:t xml:space="preserve">
      1) обоснования выбора площадки; </w:t>
      </w:r>
    </w:p>
    <w:p>
      <w:pPr>
        <w:spacing w:after="0"/>
        <w:ind w:left="0"/>
        <w:jc w:val="both"/>
      </w:pPr>
      <w:r>
        <w:rPr>
          <w:rFonts w:ascii="Times New Roman"/>
          <w:b w:val="false"/>
          <w:i w:val="false"/>
          <w:color w:val="000000"/>
          <w:sz w:val="28"/>
        </w:rPr>
        <w:t xml:space="preserve">
      2) определения базовой стоимости строительства и эксплуатации; </w:t>
      </w:r>
    </w:p>
    <w:p>
      <w:pPr>
        <w:spacing w:after="0"/>
        <w:ind w:left="0"/>
        <w:jc w:val="both"/>
      </w:pPr>
      <w:r>
        <w:rPr>
          <w:rFonts w:ascii="Times New Roman"/>
          <w:b w:val="false"/>
          <w:i w:val="false"/>
          <w:color w:val="000000"/>
          <w:sz w:val="28"/>
        </w:rPr>
        <w:t>
      3) принятия принципиальных объемно-планировочных и конструктивных решений, определяющих выполнение работ по подземному захоронению;</w:t>
      </w:r>
    </w:p>
    <w:p>
      <w:pPr>
        <w:spacing w:after="0"/>
        <w:ind w:left="0"/>
        <w:jc w:val="both"/>
      </w:pPr>
      <w:r>
        <w:rPr>
          <w:rFonts w:ascii="Times New Roman"/>
          <w:b w:val="false"/>
          <w:i w:val="false"/>
          <w:color w:val="000000"/>
          <w:sz w:val="28"/>
        </w:rPr>
        <w:t xml:space="preserve">
      4) составления схем размещения объектов строительства (ситуационного и генерального планов). </w:t>
      </w:r>
    </w:p>
    <w:bookmarkStart w:name="z55" w:id="52"/>
    <w:p>
      <w:pPr>
        <w:spacing w:after="0"/>
        <w:ind w:left="0"/>
        <w:jc w:val="left"/>
      </w:pPr>
      <w:r>
        <w:rPr>
          <w:rFonts w:ascii="Times New Roman"/>
          <w:b/>
          <w:i w:val="false"/>
          <w:color w:val="000000"/>
        </w:rPr>
        <w:t xml:space="preserve"> 3. Экологические нормативы и требования к местам подземного</w:t>
      </w:r>
      <w:r>
        <w:br/>
      </w:r>
      <w:r>
        <w:rPr>
          <w:rFonts w:ascii="Times New Roman"/>
          <w:b/>
          <w:i w:val="false"/>
          <w:color w:val="000000"/>
        </w:rPr>
        <w:t>захоронения мышьяксодержащих отходов</w:t>
      </w:r>
    </w:p>
    <w:bookmarkEnd w:id="52"/>
    <w:bookmarkStart w:name="z56" w:id="53"/>
    <w:p>
      <w:pPr>
        <w:spacing w:after="0"/>
        <w:ind w:left="0"/>
        <w:jc w:val="both"/>
      </w:pPr>
      <w:r>
        <w:rPr>
          <w:rFonts w:ascii="Times New Roman"/>
          <w:b w:val="false"/>
          <w:i w:val="false"/>
          <w:color w:val="000000"/>
          <w:sz w:val="28"/>
        </w:rPr>
        <w:t>
      14. Места подземного захоронения мышьяксодержащих отходов размещаются в обособленных, свободных от застройки, не затопляемых ливневыми, талыми и паводковыми водами, которые допускают осуществление инженерных решений, исключающих возможное загрязнение населенных пунктов, зон массового отдыха, источников питьевого и хозяйственного водоснабжения, минеральных источников, открытых водоемов и подземных вод.</w:t>
      </w:r>
    </w:p>
    <w:bookmarkEnd w:id="53"/>
    <w:bookmarkStart w:name="z57" w:id="54"/>
    <w:p>
      <w:pPr>
        <w:spacing w:after="0"/>
        <w:ind w:left="0"/>
        <w:jc w:val="both"/>
      </w:pPr>
      <w:r>
        <w:rPr>
          <w:rFonts w:ascii="Times New Roman"/>
          <w:b w:val="false"/>
          <w:i w:val="false"/>
          <w:color w:val="000000"/>
          <w:sz w:val="28"/>
        </w:rPr>
        <w:t xml:space="preserve">
      15. Места подземного захоронения располагаются на обособленной площадке вне территории городов и других поселений. </w:t>
      </w:r>
    </w:p>
    <w:bookmarkEnd w:id="54"/>
    <w:bookmarkStart w:name="z58" w:id="55"/>
    <w:p>
      <w:pPr>
        <w:spacing w:after="0"/>
        <w:ind w:left="0"/>
        <w:jc w:val="both"/>
      </w:pPr>
      <w:r>
        <w:rPr>
          <w:rFonts w:ascii="Times New Roman"/>
          <w:b w:val="false"/>
          <w:i w:val="false"/>
          <w:color w:val="000000"/>
          <w:sz w:val="28"/>
        </w:rPr>
        <w:t xml:space="preserve">
      16. Подземное захоронение отходов размещается в массивах горных пород, способных обеспечить устойчивость и герметичность захороненных отходов на весь период эксплуатации, а горные породы, в которых размещаются участки захоронения отходов, не содержат включений, ухудшающих качество захораниваемых отходов. </w:t>
      </w:r>
    </w:p>
    <w:bookmarkEnd w:id="55"/>
    <w:bookmarkStart w:name="z59" w:id="56"/>
    <w:p>
      <w:pPr>
        <w:spacing w:after="0"/>
        <w:ind w:left="0"/>
        <w:jc w:val="both"/>
      </w:pPr>
      <w:r>
        <w:rPr>
          <w:rFonts w:ascii="Times New Roman"/>
          <w:b w:val="false"/>
          <w:i w:val="false"/>
          <w:color w:val="000000"/>
          <w:sz w:val="28"/>
        </w:rPr>
        <w:t>
      17. Подземные и наземные сооружения мест захоронения отходов не размещаются на территории с повышенной сейсмической активностью, а также на участках развития физико-геологических и криогенных процессов (карст, оползни, сели, лавины, термокарст).</w:t>
      </w:r>
    </w:p>
    <w:bookmarkEnd w:id="56"/>
    <w:bookmarkStart w:name="z60" w:id="57"/>
    <w:p>
      <w:pPr>
        <w:spacing w:after="0"/>
        <w:ind w:left="0"/>
        <w:jc w:val="both"/>
      </w:pPr>
      <w:r>
        <w:rPr>
          <w:rFonts w:ascii="Times New Roman"/>
          <w:b w:val="false"/>
          <w:i w:val="false"/>
          <w:color w:val="000000"/>
          <w:sz w:val="28"/>
        </w:rPr>
        <w:t xml:space="preserve">
      18. Местами для захоронения мышьяксодержащих отходов являются тектонически ненарушенные участки недр, сложенные практически водонепроницаемыми породами (глины, каменная соль, нетрещиноватые коренные породы), исключающие контакт отходов с подземными водами. </w:t>
      </w:r>
    </w:p>
    <w:bookmarkEnd w:id="57"/>
    <w:bookmarkStart w:name="z61" w:id="58"/>
    <w:p>
      <w:pPr>
        <w:spacing w:after="0"/>
        <w:ind w:left="0"/>
        <w:jc w:val="both"/>
      </w:pPr>
      <w:r>
        <w:rPr>
          <w:rFonts w:ascii="Times New Roman"/>
          <w:b w:val="false"/>
          <w:i w:val="false"/>
          <w:color w:val="000000"/>
          <w:sz w:val="28"/>
        </w:rPr>
        <w:t xml:space="preserve">
      19. Основными характеристиками, обосновывающими выбор участка недр и проектирование мест подземного захоронения мышьяксодержащих отходов, являются показатели физико-механических, фильтрационных свойств пород. </w:t>
      </w:r>
    </w:p>
    <w:bookmarkEnd w:id="58"/>
    <w:bookmarkStart w:name="z62" w:id="59"/>
    <w:p>
      <w:pPr>
        <w:spacing w:after="0"/>
        <w:ind w:left="0"/>
        <w:jc w:val="both"/>
      </w:pPr>
      <w:r>
        <w:rPr>
          <w:rFonts w:ascii="Times New Roman"/>
          <w:b w:val="false"/>
          <w:i w:val="false"/>
          <w:color w:val="000000"/>
          <w:sz w:val="28"/>
        </w:rPr>
        <w:t xml:space="preserve">
      20. Минимально допустимая глубина залегания горных пород, предназначенных для захоронения отходов, определяется расчетами в проектной документации исходя из типа горных выработок и шахтных пустот рудников, плотности пород, и гидрогеологических условий. </w:t>
      </w:r>
    </w:p>
    <w:bookmarkEnd w:id="59"/>
    <w:bookmarkStart w:name="z63" w:id="60"/>
    <w:p>
      <w:pPr>
        <w:spacing w:after="0"/>
        <w:ind w:left="0"/>
        <w:jc w:val="both"/>
      </w:pPr>
      <w:r>
        <w:rPr>
          <w:rFonts w:ascii="Times New Roman"/>
          <w:b w:val="false"/>
          <w:i w:val="false"/>
          <w:color w:val="000000"/>
          <w:sz w:val="28"/>
        </w:rPr>
        <w:t xml:space="preserve">
      21. В состав мест подземного захоронения отходов входят: </w:t>
      </w:r>
    </w:p>
    <w:bookmarkEnd w:id="60"/>
    <w:p>
      <w:pPr>
        <w:spacing w:after="0"/>
        <w:ind w:left="0"/>
        <w:jc w:val="both"/>
      </w:pPr>
      <w:r>
        <w:rPr>
          <w:rFonts w:ascii="Times New Roman"/>
          <w:b w:val="false"/>
          <w:i w:val="false"/>
          <w:color w:val="000000"/>
          <w:sz w:val="28"/>
        </w:rPr>
        <w:t xml:space="preserve">
      1) подземные сооружения; </w:t>
      </w:r>
    </w:p>
    <w:p>
      <w:pPr>
        <w:spacing w:after="0"/>
        <w:ind w:left="0"/>
        <w:jc w:val="both"/>
      </w:pPr>
      <w:r>
        <w:rPr>
          <w:rFonts w:ascii="Times New Roman"/>
          <w:b w:val="false"/>
          <w:i w:val="false"/>
          <w:color w:val="000000"/>
          <w:sz w:val="28"/>
        </w:rPr>
        <w:t xml:space="preserve">
      2) массив горных пород в пределах зоны захоронения; </w:t>
      </w:r>
    </w:p>
    <w:p>
      <w:pPr>
        <w:spacing w:after="0"/>
        <w:ind w:left="0"/>
        <w:jc w:val="both"/>
      </w:pPr>
      <w:r>
        <w:rPr>
          <w:rFonts w:ascii="Times New Roman"/>
          <w:b w:val="false"/>
          <w:i w:val="false"/>
          <w:color w:val="000000"/>
          <w:sz w:val="28"/>
        </w:rPr>
        <w:t xml:space="preserve">
      3) наземные сооружения, обеспечивающие создание и использование мест подземного захоронения отходов; </w:t>
      </w:r>
    </w:p>
    <w:p>
      <w:pPr>
        <w:spacing w:after="0"/>
        <w:ind w:left="0"/>
        <w:jc w:val="both"/>
      </w:pPr>
      <w:r>
        <w:rPr>
          <w:rFonts w:ascii="Times New Roman"/>
          <w:b w:val="false"/>
          <w:i w:val="false"/>
          <w:color w:val="000000"/>
          <w:sz w:val="28"/>
        </w:rPr>
        <w:t xml:space="preserve">
      4) сеть наблюдательных скважин и пунктов наблюдений, посредством которых осуществляется контроль состояния подземных вод в пределах зоны наблюдения мест подземного захоронения. </w:t>
      </w:r>
    </w:p>
    <w:bookmarkStart w:name="z64" w:id="61"/>
    <w:p>
      <w:pPr>
        <w:spacing w:after="0"/>
        <w:ind w:left="0"/>
        <w:jc w:val="both"/>
      </w:pPr>
      <w:r>
        <w:rPr>
          <w:rFonts w:ascii="Times New Roman"/>
          <w:b w:val="false"/>
          <w:i w:val="false"/>
          <w:color w:val="000000"/>
          <w:sz w:val="28"/>
        </w:rPr>
        <w:t>
      22. Геологическое строение, гидрогеологические, инженерно-геологические условия места сооружения подземного захоронения, с учетом предлагаемых проектных решений по захоронению отходов, обеспечивают надежную изоляцию мышьяксодержащих отходов от водоносных горизонтов зоны активного водообмена, используемых для хозяйственно-питьевых нужд, и поверхностных вод.</w:t>
      </w:r>
    </w:p>
    <w:bookmarkEnd w:id="61"/>
    <w:bookmarkStart w:name="z65" w:id="62"/>
    <w:p>
      <w:pPr>
        <w:spacing w:after="0"/>
        <w:ind w:left="0"/>
        <w:jc w:val="both"/>
      </w:pPr>
      <w:r>
        <w:rPr>
          <w:rFonts w:ascii="Times New Roman"/>
          <w:b w:val="false"/>
          <w:i w:val="false"/>
          <w:color w:val="000000"/>
          <w:sz w:val="28"/>
        </w:rPr>
        <w:t>
      23. Места подземного захоронения размещаются на участках, где подземные воды залегают на глубине более 20 метров, напорные подземные воды залегают ниже участка захоронения отходов. Основание дна мест захоронения располагается выше, чем 4 метра от наивысшего сезонного стояния уровня подземных вод.</w:t>
      </w:r>
    </w:p>
    <w:bookmarkEnd w:id="62"/>
    <w:bookmarkStart w:name="z66" w:id="63"/>
    <w:p>
      <w:pPr>
        <w:spacing w:after="0"/>
        <w:ind w:left="0"/>
        <w:jc w:val="both"/>
      </w:pPr>
      <w:r>
        <w:rPr>
          <w:rFonts w:ascii="Times New Roman"/>
          <w:b w:val="false"/>
          <w:i w:val="false"/>
          <w:color w:val="000000"/>
          <w:sz w:val="28"/>
        </w:rPr>
        <w:t>
      24. На выбранной площадке предусматриваются инженерные мероприятия, обеспечивающие надежную изоляцию отходов и минимизацию риска проникновения токсичных веществ располагаемых отходов в поверхностные и подземные воды.</w:t>
      </w:r>
    </w:p>
    <w:bookmarkEnd w:id="63"/>
    <w:bookmarkStart w:name="z67" w:id="64"/>
    <w:p>
      <w:pPr>
        <w:spacing w:after="0"/>
        <w:ind w:left="0"/>
        <w:jc w:val="both"/>
      </w:pPr>
      <w:r>
        <w:rPr>
          <w:rFonts w:ascii="Times New Roman"/>
          <w:b w:val="false"/>
          <w:i w:val="false"/>
          <w:color w:val="000000"/>
          <w:sz w:val="28"/>
        </w:rPr>
        <w:t>
      25. Поверхностный и подземный сток с земельного участка промышленной площадки в открытые водные объекты не осуществляется.</w:t>
      </w:r>
    </w:p>
    <w:bookmarkEnd w:id="64"/>
    <w:bookmarkStart w:name="z68" w:id="65"/>
    <w:p>
      <w:pPr>
        <w:spacing w:after="0"/>
        <w:ind w:left="0"/>
        <w:jc w:val="both"/>
      </w:pPr>
      <w:r>
        <w:rPr>
          <w:rFonts w:ascii="Times New Roman"/>
          <w:b w:val="false"/>
          <w:i w:val="false"/>
          <w:color w:val="000000"/>
          <w:sz w:val="28"/>
        </w:rPr>
        <w:t xml:space="preserve">
      26. Для достижения наибольшей эффективности при выборе участков недр для подземного захоронения отходов в проектной документации предусматривается: </w:t>
      </w:r>
    </w:p>
    <w:bookmarkEnd w:id="65"/>
    <w:p>
      <w:pPr>
        <w:spacing w:after="0"/>
        <w:ind w:left="0"/>
        <w:jc w:val="both"/>
      </w:pPr>
      <w:r>
        <w:rPr>
          <w:rFonts w:ascii="Times New Roman"/>
          <w:b w:val="false"/>
          <w:i w:val="false"/>
          <w:color w:val="000000"/>
          <w:sz w:val="28"/>
        </w:rPr>
        <w:t xml:space="preserve">
      1) определение допустимого объема захоронения отходов на участке захоронения; </w:t>
      </w:r>
    </w:p>
    <w:p>
      <w:pPr>
        <w:spacing w:after="0"/>
        <w:ind w:left="0"/>
        <w:jc w:val="both"/>
      </w:pPr>
      <w:r>
        <w:rPr>
          <w:rFonts w:ascii="Times New Roman"/>
          <w:b w:val="false"/>
          <w:i w:val="false"/>
          <w:color w:val="000000"/>
          <w:sz w:val="28"/>
        </w:rPr>
        <w:t xml:space="preserve">
      2) обоснование схемы размещения мышьяксодержащих отходов; </w:t>
      </w:r>
    </w:p>
    <w:p>
      <w:pPr>
        <w:spacing w:after="0"/>
        <w:ind w:left="0"/>
        <w:jc w:val="both"/>
      </w:pPr>
      <w:r>
        <w:rPr>
          <w:rFonts w:ascii="Times New Roman"/>
          <w:b w:val="false"/>
          <w:i w:val="false"/>
          <w:color w:val="000000"/>
          <w:sz w:val="28"/>
        </w:rPr>
        <w:t xml:space="preserve">
      3) обоснование конструкции пункта перегрузки, количество и мощность конструкций железобетонных перемычек и пола; </w:t>
      </w:r>
    </w:p>
    <w:p>
      <w:pPr>
        <w:spacing w:after="0"/>
        <w:ind w:left="0"/>
        <w:jc w:val="both"/>
      </w:pPr>
      <w:r>
        <w:rPr>
          <w:rFonts w:ascii="Times New Roman"/>
          <w:b w:val="false"/>
          <w:i w:val="false"/>
          <w:color w:val="000000"/>
          <w:sz w:val="28"/>
        </w:rPr>
        <w:t xml:space="preserve">
      4) обоснование конструкции контрольных скважин (контрольная скважина); </w:t>
      </w:r>
    </w:p>
    <w:p>
      <w:pPr>
        <w:spacing w:after="0"/>
        <w:ind w:left="0"/>
        <w:jc w:val="both"/>
      </w:pPr>
      <w:r>
        <w:rPr>
          <w:rFonts w:ascii="Times New Roman"/>
          <w:b w:val="false"/>
          <w:i w:val="false"/>
          <w:color w:val="000000"/>
          <w:sz w:val="28"/>
        </w:rPr>
        <w:t xml:space="preserve">
      5) горная выработка или очистные сооружения шахтных вод, предназначенные для наблюдения за состоянием грунтовых вод, их числа и расположения; </w:t>
      </w:r>
    </w:p>
    <w:p>
      <w:pPr>
        <w:spacing w:after="0"/>
        <w:ind w:left="0"/>
        <w:jc w:val="both"/>
      </w:pPr>
      <w:r>
        <w:rPr>
          <w:rFonts w:ascii="Times New Roman"/>
          <w:b w:val="false"/>
          <w:i w:val="false"/>
          <w:color w:val="000000"/>
          <w:sz w:val="28"/>
        </w:rPr>
        <w:t xml:space="preserve">
      6) прогноз влияния объекта на компоненты геологической среды; </w:t>
      </w:r>
    </w:p>
    <w:p>
      <w:pPr>
        <w:spacing w:after="0"/>
        <w:ind w:left="0"/>
        <w:jc w:val="both"/>
      </w:pPr>
      <w:r>
        <w:rPr>
          <w:rFonts w:ascii="Times New Roman"/>
          <w:b w:val="false"/>
          <w:i w:val="false"/>
          <w:color w:val="000000"/>
          <w:sz w:val="28"/>
        </w:rPr>
        <w:t xml:space="preserve">
      7) прогноз возможности развития опасных геологических процессов и явлений способных нарушить герметичность сооружения; </w:t>
      </w:r>
    </w:p>
    <w:p>
      <w:pPr>
        <w:spacing w:after="0"/>
        <w:ind w:left="0"/>
        <w:jc w:val="both"/>
      </w:pPr>
      <w:r>
        <w:rPr>
          <w:rFonts w:ascii="Times New Roman"/>
          <w:b w:val="false"/>
          <w:i w:val="false"/>
          <w:color w:val="000000"/>
          <w:sz w:val="28"/>
        </w:rPr>
        <w:t xml:space="preserve">
      8) обоснование конструкций и технологии строительства и эксплуатации сооружений подземного захоронения отходов; </w:t>
      </w:r>
    </w:p>
    <w:p>
      <w:pPr>
        <w:spacing w:after="0"/>
        <w:ind w:left="0"/>
        <w:jc w:val="both"/>
      </w:pPr>
      <w:r>
        <w:rPr>
          <w:rFonts w:ascii="Times New Roman"/>
          <w:b w:val="false"/>
          <w:i w:val="false"/>
          <w:color w:val="000000"/>
          <w:sz w:val="28"/>
        </w:rPr>
        <w:t>
      9) меры по предупреждению и минимизации последствий от затопления местности паводковыми и нагонными водами и водами волны прорыва в случае разрушения плотины вышерасположенного водохранилища;</w:t>
      </w:r>
    </w:p>
    <w:p>
      <w:pPr>
        <w:spacing w:after="0"/>
        <w:ind w:left="0"/>
        <w:jc w:val="both"/>
      </w:pPr>
      <w:r>
        <w:rPr>
          <w:rFonts w:ascii="Times New Roman"/>
          <w:b w:val="false"/>
          <w:i w:val="false"/>
          <w:color w:val="000000"/>
          <w:sz w:val="28"/>
        </w:rPr>
        <w:t>
      10) составление программы экологического мониторинга;</w:t>
      </w:r>
    </w:p>
    <w:p>
      <w:pPr>
        <w:spacing w:after="0"/>
        <w:ind w:left="0"/>
        <w:jc w:val="both"/>
      </w:pPr>
      <w:r>
        <w:rPr>
          <w:rFonts w:ascii="Times New Roman"/>
          <w:b w:val="false"/>
          <w:i w:val="false"/>
          <w:color w:val="000000"/>
          <w:sz w:val="28"/>
        </w:rPr>
        <w:t xml:space="preserve">
      11) определение размера зоны захоронения и санитарно-защитных зон. </w:t>
      </w:r>
    </w:p>
    <w:bookmarkStart w:name="z69" w:id="66"/>
    <w:p>
      <w:pPr>
        <w:spacing w:after="0"/>
        <w:ind w:left="0"/>
        <w:jc w:val="both"/>
      </w:pPr>
      <w:r>
        <w:rPr>
          <w:rFonts w:ascii="Times New Roman"/>
          <w:b w:val="false"/>
          <w:i w:val="false"/>
          <w:color w:val="000000"/>
          <w:sz w:val="28"/>
        </w:rPr>
        <w:t>
      27. Процедуры приема и захоронения отходов, принимаемых для захоронения, устанавливаются природопользователем в проектной документации.</w:t>
      </w:r>
    </w:p>
    <w:bookmarkEnd w:id="66"/>
    <w:bookmarkStart w:name="z70" w:id="67"/>
    <w:p>
      <w:pPr>
        <w:spacing w:after="0"/>
        <w:ind w:left="0"/>
        <w:jc w:val="both"/>
      </w:pPr>
      <w:r>
        <w:rPr>
          <w:rFonts w:ascii="Times New Roman"/>
          <w:b w:val="false"/>
          <w:i w:val="false"/>
          <w:color w:val="000000"/>
          <w:sz w:val="28"/>
        </w:rPr>
        <w:t>
      28. Критерии для приема мышьяксодержащих отходов в места подземного захоронения определяются природопользователем с учетом настоящих Требований:</w:t>
      </w:r>
    </w:p>
    <w:bookmarkEnd w:id="67"/>
    <w:p>
      <w:pPr>
        <w:spacing w:after="0"/>
        <w:ind w:left="0"/>
        <w:jc w:val="both"/>
      </w:pPr>
      <w:r>
        <w:rPr>
          <w:rFonts w:ascii="Times New Roman"/>
          <w:b w:val="false"/>
          <w:i w:val="false"/>
          <w:color w:val="000000"/>
          <w:sz w:val="28"/>
        </w:rPr>
        <w:t>
      1) наименование подлежащих захоронению мышьяксодержащих отходов, их физико-химические свойства;</w:t>
      </w:r>
    </w:p>
    <w:p>
      <w:pPr>
        <w:spacing w:after="0"/>
        <w:ind w:left="0"/>
        <w:jc w:val="both"/>
      </w:pPr>
      <w:r>
        <w:rPr>
          <w:rFonts w:ascii="Times New Roman"/>
          <w:b w:val="false"/>
          <w:i w:val="false"/>
          <w:color w:val="000000"/>
          <w:sz w:val="28"/>
        </w:rPr>
        <w:t>
      2) содержание в подлежащих захоронению мышьяксодержащих отходах токсичных и агрессивных веществ;</w:t>
      </w:r>
    </w:p>
    <w:p>
      <w:pPr>
        <w:spacing w:after="0"/>
        <w:ind w:left="0"/>
        <w:jc w:val="both"/>
      </w:pPr>
      <w:r>
        <w:rPr>
          <w:rFonts w:ascii="Times New Roman"/>
          <w:b w:val="false"/>
          <w:i w:val="false"/>
          <w:color w:val="000000"/>
          <w:sz w:val="28"/>
        </w:rPr>
        <w:t>
      3) качественный состав принимаемых мышьяксодержащих отходов;</w:t>
      </w:r>
    </w:p>
    <w:p>
      <w:pPr>
        <w:spacing w:after="0"/>
        <w:ind w:left="0"/>
        <w:jc w:val="both"/>
      </w:pPr>
      <w:r>
        <w:rPr>
          <w:rFonts w:ascii="Times New Roman"/>
          <w:b w:val="false"/>
          <w:i w:val="false"/>
          <w:color w:val="000000"/>
          <w:sz w:val="28"/>
        </w:rPr>
        <w:t>
      4) способ доставки и отгрузки отходов для подземного захоронения.</w:t>
      </w:r>
    </w:p>
    <w:bookmarkStart w:name="z71" w:id="68"/>
    <w:p>
      <w:pPr>
        <w:spacing w:after="0"/>
        <w:ind w:left="0"/>
        <w:jc w:val="both"/>
      </w:pPr>
      <w:r>
        <w:rPr>
          <w:rFonts w:ascii="Times New Roman"/>
          <w:b w:val="false"/>
          <w:i w:val="false"/>
          <w:color w:val="000000"/>
          <w:sz w:val="28"/>
        </w:rPr>
        <w:t xml:space="preserve">
      29. При захоронении в горных выработках и шахтных пустотах отходы, имеющие разные физические и химические свойства, не смешиваются. </w:t>
      </w:r>
    </w:p>
    <w:bookmarkEnd w:id="68"/>
    <w:bookmarkStart w:name="z72" w:id="69"/>
    <w:p>
      <w:pPr>
        <w:spacing w:after="0"/>
        <w:ind w:left="0"/>
        <w:jc w:val="both"/>
      </w:pPr>
      <w:r>
        <w:rPr>
          <w:rFonts w:ascii="Times New Roman"/>
          <w:b w:val="false"/>
          <w:i w:val="false"/>
          <w:color w:val="000000"/>
          <w:sz w:val="28"/>
        </w:rPr>
        <w:t>
      30. Основные природоохранные функции мест подземного захоронения:</w:t>
      </w:r>
    </w:p>
    <w:bookmarkEnd w:id="69"/>
    <w:p>
      <w:pPr>
        <w:spacing w:after="0"/>
        <w:ind w:left="0"/>
        <w:jc w:val="both"/>
      </w:pPr>
      <w:r>
        <w:rPr>
          <w:rFonts w:ascii="Times New Roman"/>
          <w:b w:val="false"/>
          <w:i w:val="false"/>
          <w:color w:val="000000"/>
          <w:sz w:val="28"/>
        </w:rPr>
        <w:t>
      1) предотвращение попадания загрязняющих веществ в растворенном или взвешенном состоянии в поверхностные и подземные воды;</w:t>
      </w:r>
    </w:p>
    <w:p>
      <w:pPr>
        <w:spacing w:after="0"/>
        <w:ind w:left="0"/>
        <w:jc w:val="both"/>
      </w:pPr>
      <w:r>
        <w:rPr>
          <w:rFonts w:ascii="Times New Roman"/>
          <w:b w:val="false"/>
          <w:i w:val="false"/>
          <w:color w:val="000000"/>
          <w:sz w:val="28"/>
        </w:rPr>
        <w:t>
      2) защита атмосферного воздуха от загрязнения пыле - газовыми выбросами;</w:t>
      </w:r>
    </w:p>
    <w:p>
      <w:pPr>
        <w:spacing w:after="0"/>
        <w:ind w:left="0"/>
        <w:jc w:val="both"/>
      </w:pPr>
      <w:r>
        <w:rPr>
          <w:rFonts w:ascii="Times New Roman"/>
          <w:b w:val="false"/>
          <w:i w:val="false"/>
          <w:color w:val="000000"/>
          <w:sz w:val="28"/>
        </w:rPr>
        <w:t>
      3) защита окружающей местности от разноса ветром легких фракций отходов при ведении работ по разгрузке, пересыпки и складировании;</w:t>
      </w:r>
    </w:p>
    <w:p>
      <w:pPr>
        <w:spacing w:after="0"/>
        <w:ind w:left="0"/>
        <w:jc w:val="both"/>
      </w:pPr>
      <w:r>
        <w:rPr>
          <w:rFonts w:ascii="Times New Roman"/>
          <w:b w:val="false"/>
          <w:i w:val="false"/>
          <w:color w:val="000000"/>
          <w:sz w:val="28"/>
        </w:rPr>
        <w:t>
      4) максимально возможное уплотненное заполнение отходов, подлежащих захоронению в горных выработках и шахтных пустотах рудников.</w:t>
      </w:r>
    </w:p>
    <w:bookmarkStart w:name="z73" w:id="70"/>
    <w:p>
      <w:pPr>
        <w:spacing w:after="0"/>
        <w:ind w:left="0"/>
        <w:jc w:val="both"/>
      </w:pPr>
      <w:r>
        <w:rPr>
          <w:rFonts w:ascii="Times New Roman"/>
          <w:b w:val="false"/>
          <w:i w:val="false"/>
          <w:color w:val="000000"/>
          <w:sz w:val="28"/>
        </w:rPr>
        <w:t>
      31. В местах подземного захоронения не размещаются следующие виды отходов:</w:t>
      </w:r>
    </w:p>
    <w:bookmarkEnd w:id="70"/>
    <w:p>
      <w:pPr>
        <w:spacing w:after="0"/>
        <w:ind w:left="0"/>
        <w:jc w:val="both"/>
      </w:pPr>
      <w:r>
        <w:rPr>
          <w:rFonts w:ascii="Times New Roman"/>
          <w:b w:val="false"/>
          <w:i w:val="false"/>
          <w:color w:val="000000"/>
          <w:sz w:val="28"/>
        </w:rPr>
        <w:t>
      1) отходы, для которых разработаны эффективные, экономически целесообразные методы извлечения металлов или других веществ;</w:t>
      </w:r>
    </w:p>
    <w:p>
      <w:pPr>
        <w:spacing w:after="0"/>
        <w:ind w:left="0"/>
        <w:jc w:val="both"/>
      </w:pPr>
      <w:r>
        <w:rPr>
          <w:rFonts w:ascii="Times New Roman"/>
          <w:b w:val="false"/>
          <w:i w:val="false"/>
          <w:color w:val="000000"/>
          <w:sz w:val="28"/>
        </w:rPr>
        <w:t>
      2) радиоактивные отходы;</w:t>
      </w:r>
    </w:p>
    <w:p>
      <w:pPr>
        <w:spacing w:after="0"/>
        <w:ind w:left="0"/>
        <w:jc w:val="both"/>
      </w:pPr>
      <w:r>
        <w:rPr>
          <w:rFonts w:ascii="Times New Roman"/>
          <w:b w:val="false"/>
          <w:i w:val="false"/>
          <w:color w:val="000000"/>
          <w:sz w:val="28"/>
        </w:rPr>
        <w:t>
      4) пожаро- взрывоопасные отходы;</w:t>
      </w:r>
    </w:p>
    <w:p>
      <w:pPr>
        <w:spacing w:after="0"/>
        <w:ind w:left="0"/>
        <w:jc w:val="both"/>
      </w:pPr>
      <w:r>
        <w:rPr>
          <w:rFonts w:ascii="Times New Roman"/>
          <w:b w:val="false"/>
          <w:i w:val="false"/>
          <w:color w:val="000000"/>
          <w:sz w:val="28"/>
        </w:rPr>
        <w:t>
      5) отходы, не указанные в настоящих Требованиях;</w:t>
      </w:r>
    </w:p>
    <w:p>
      <w:pPr>
        <w:spacing w:after="0"/>
        <w:ind w:left="0"/>
        <w:jc w:val="both"/>
      </w:pPr>
      <w:r>
        <w:rPr>
          <w:rFonts w:ascii="Times New Roman"/>
          <w:b w:val="false"/>
          <w:i w:val="false"/>
          <w:color w:val="000000"/>
          <w:sz w:val="28"/>
        </w:rPr>
        <w:t>
      6) мышьяксодержащие отходы с индексом опасности выше 2000.</w:t>
      </w:r>
    </w:p>
    <w:bookmarkStart w:name="z74" w:id="71"/>
    <w:p>
      <w:pPr>
        <w:spacing w:after="0"/>
        <w:ind w:left="0"/>
        <w:jc w:val="both"/>
      </w:pPr>
      <w:r>
        <w:rPr>
          <w:rFonts w:ascii="Times New Roman"/>
          <w:b w:val="false"/>
          <w:i w:val="false"/>
          <w:color w:val="000000"/>
          <w:sz w:val="28"/>
        </w:rPr>
        <w:t xml:space="preserve">
      32. Производственный и государственный экологический контроль за соблюдением настоящих Требований к подземному захоронению отходов и содержанию мест захоронения осуществляется в порядке, установленном Кодексом. </w:t>
      </w:r>
    </w:p>
    <w:bookmarkEnd w:id="71"/>
    <w:bookmarkStart w:name="z75" w:id="72"/>
    <w:p>
      <w:pPr>
        <w:spacing w:after="0"/>
        <w:ind w:left="0"/>
        <w:jc w:val="both"/>
      </w:pPr>
      <w:r>
        <w:rPr>
          <w:rFonts w:ascii="Times New Roman"/>
          <w:b w:val="false"/>
          <w:i w:val="false"/>
          <w:color w:val="000000"/>
          <w:sz w:val="28"/>
        </w:rPr>
        <w:t>
      33. При подземном захоронении мышьяксодержащих отходов принимаются меры для минимизации негативных последствий функционирования мест захоронения отходов (эмиссии запахов и пыли, разносимые ветром материалы, соединения и аэрозоли, шум и движение, пожары и другие).</w:t>
      </w:r>
    </w:p>
    <w:bookmarkEnd w:id="72"/>
    <w:bookmarkStart w:name="z76" w:id="73"/>
    <w:p>
      <w:pPr>
        <w:spacing w:after="0"/>
        <w:ind w:left="0"/>
        <w:jc w:val="both"/>
      </w:pPr>
      <w:r>
        <w:rPr>
          <w:rFonts w:ascii="Times New Roman"/>
          <w:b w:val="false"/>
          <w:i w:val="false"/>
          <w:color w:val="000000"/>
          <w:sz w:val="28"/>
        </w:rPr>
        <w:t xml:space="preserve">
      34. Места подземного захоронения мышьяксодержащих отходов являются экологически опасными объектами. </w:t>
      </w:r>
    </w:p>
    <w:bookmarkEnd w:id="73"/>
    <w:bookmarkStart w:name="z77" w:id="74"/>
    <w:p>
      <w:pPr>
        <w:spacing w:after="0"/>
        <w:ind w:left="0"/>
        <w:jc w:val="both"/>
      </w:pPr>
      <w:r>
        <w:rPr>
          <w:rFonts w:ascii="Times New Roman"/>
          <w:b w:val="false"/>
          <w:i w:val="false"/>
          <w:color w:val="000000"/>
          <w:sz w:val="28"/>
        </w:rPr>
        <w:t>
      35. Места подземного захоронения отходов при строительстве и использовании оборудуются системой мониторинга для предупреждения негативного воздействия на основные компоненты окружающей среды: атмосферный воздух, почвы, поверхностные, подземные и грунтовые воды.</w:t>
      </w:r>
    </w:p>
    <w:bookmarkEnd w:id="74"/>
    <w:bookmarkStart w:name="z78" w:id="75"/>
    <w:p>
      <w:pPr>
        <w:spacing w:after="0"/>
        <w:ind w:left="0"/>
        <w:jc w:val="left"/>
      </w:pPr>
      <w:r>
        <w:rPr>
          <w:rFonts w:ascii="Times New Roman"/>
          <w:b/>
          <w:i w:val="false"/>
          <w:color w:val="000000"/>
        </w:rPr>
        <w:t xml:space="preserve"> 4. Экологические нормативы и требования к проектированию и</w:t>
      </w:r>
      <w:r>
        <w:br/>
      </w:r>
      <w:r>
        <w:rPr>
          <w:rFonts w:ascii="Times New Roman"/>
          <w:b/>
          <w:i w:val="false"/>
          <w:color w:val="000000"/>
        </w:rPr>
        <w:t>строительству мест подземного захоронения мышьяксодержащих</w:t>
      </w:r>
      <w:r>
        <w:br/>
      </w:r>
      <w:r>
        <w:rPr>
          <w:rFonts w:ascii="Times New Roman"/>
          <w:b/>
          <w:i w:val="false"/>
          <w:color w:val="000000"/>
        </w:rPr>
        <w:t>отходов</w:t>
      </w:r>
    </w:p>
    <w:bookmarkEnd w:id="75"/>
    <w:bookmarkStart w:name="z79" w:id="76"/>
    <w:p>
      <w:pPr>
        <w:spacing w:after="0"/>
        <w:ind w:left="0"/>
        <w:jc w:val="both"/>
      </w:pPr>
      <w:r>
        <w:rPr>
          <w:rFonts w:ascii="Times New Roman"/>
          <w:b w:val="false"/>
          <w:i w:val="false"/>
          <w:color w:val="000000"/>
          <w:sz w:val="28"/>
        </w:rPr>
        <w:t>
      36. Места подземного захоронения проектируются на основании задания на проектирование, разработанного и выдаваемого природопользователем.</w:t>
      </w:r>
    </w:p>
    <w:bookmarkEnd w:id="76"/>
    <w:bookmarkStart w:name="z80" w:id="77"/>
    <w:p>
      <w:pPr>
        <w:spacing w:after="0"/>
        <w:ind w:left="0"/>
        <w:jc w:val="both"/>
      </w:pPr>
      <w:r>
        <w:rPr>
          <w:rFonts w:ascii="Times New Roman"/>
          <w:b w:val="false"/>
          <w:i w:val="false"/>
          <w:color w:val="000000"/>
          <w:sz w:val="28"/>
        </w:rPr>
        <w:t>
      37. Строительство мест подземного захоронения производится на основании проектной документации и проекта производства работ.</w:t>
      </w:r>
    </w:p>
    <w:bookmarkEnd w:id="77"/>
    <w:bookmarkStart w:name="z81" w:id="78"/>
    <w:p>
      <w:pPr>
        <w:spacing w:after="0"/>
        <w:ind w:left="0"/>
        <w:jc w:val="both"/>
      </w:pPr>
      <w:r>
        <w:rPr>
          <w:rFonts w:ascii="Times New Roman"/>
          <w:b w:val="false"/>
          <w:i w:val="false"/>
          <w:color w:val="000000"/>
          <w:sz w:val="28"/>
        </w:rPr>
        <w:t>
      38. При выборе объемно-планировочной схемы обеспечиваются наилучшее использование вмещающей толщи горных пород и наилучшие условия изоляции отходов.</w:t>
      </w:r>
    </w:p>
    <w:bookmarkEnd w:id="78"/>
    <w:bookmarkStart w:name="z82" w:id="79"/>
    <w:p>
      <w:pPr>
        <w:spacing w:after="0"/>
        <w:ind w:left="0"/>
        <w:jc w:val="both"/>
      </w:pPr>
      <w:r>
        <w:rPr>
          <w:rFonts w:ascii="Times New Roman"/>
          <w:b w:val="false"/>
          <w:i w:val="false"/>
          <w:color w:val="000000"/>
          <w:sz w:val="28"/>
        </w:rPr>
        <w:t>
      39. При проектировании мест подземного захоронения учитываются геологические, гидрогеологические и геокриологические особенности в процессе укладки отходов.</w:t>
      </w:r>
    </w:p>
    <w:bookmarkEnd w:id="79"/>
    <w:bookmarkStart w:name="z83" w:id="80"/>
    <w:p>
      <w:pPr>
        <w:spacing w:after="0"/>
        <w:ind w:left="0"/>
        <w:jc w:val="both"/>
      </w:pPr>
      <w:r>
        <w:rPr>
          <w:rFonts w:ascii="Times New Roman"/>
          <w:b w:val="false"/>
          <w:i w:val="false"/>
          <w:color w:val="000000"/>
          <w:sz w:val="28"/>
        </w:rPr>
        <w:t>
      40. Проектирование строительства и (или) использования мест подземного захоронения мышьяксодержащих отходов осуществляется при наличии геолого-гидрогеологических, инженерно-геологических, экологических данных и расчетов о возможности локализации захоронения отходов в определенных границах и обеспечении гарантии, исключающей проникновение и влияние на окружающую среду.</w:t>
      </w:r>
    </w:p>
    <w:bookmarkEnd w:id="80"/>
    <w:bookmarkStart w:name="z84" w:id="81"/>
    <w:p>
      <w:pPr>
        <w:spacing w:after="0"/>
        <w:ind w:left="0"/>
        <w:jc w:val="both"/>
      </w:pPr>
      <w:r>
        <w:rPr>
          <w:rFonts w:ascii="Times New Roman"/>
          <w:b w:val="false"/>
          <w:i w:val="false"/>
          <w:color w:val="000000"/>
          <w:sz w:val="28"/>
        </w:rPr>
        <w:t>
      41. Природопользователи при строительстве и (или) использовании подземных сооружений для захоронения мышьяксодержащих отходов в недра обеспечивают:</w:t>
      </w:r>
    </w:p>
    <w:bookmarkEnd w:id="81"/>
    <w:p>
      <w:pPr>
        <w:spacing w:after="0"/>
        <w:ind w:left="0"/>
        <w:jc w:val="both"/>
      </w:pPr>
      <w:r>
        <w:rPr>
          <w:rFonts w:ascii="Times New Roman"/>
          <w:b w:val="false"/>
          <w:i w:val="false"/>
          <w:color w:val="000000"/>
          <w:sz w:val="28"/>
        </w:rPr>
        <w:t>
      1) охрану жизни и здоровья населения;</w:t>
      </w:r>
    </w:p>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p>
      <w:pPr>
        <w:spacing w:after="0"/>
        <w:ind w:left="0"/>
        <w:jc w:val="both"/>
      </w:pPr>
      <w:r>
        <w:rPr>
          <w:rFonts w:ascii="Times New Roman"/>
          <w:b w:val="false"/>
          <w:i w:val="false"/>
          <w:color w:val="000000"/>
          <w:sz w:val="28"/>
        </w:rPr>
        <w:t xml:space="preserve">
      3) сохранение свойств энергетического состояния верхних частей недр с целью предотвращения землетрясений, оползней, подтоплений, просадок грунтов; </w:t>
      </w:r>
    </w:p>
    <w:p>
      <w:pPr>
        <w:spacing w:after="0"/>
        <w:ind w:left="0"/>
        <w:jc w:val="both"/>
      </w:pPr>
      <w:r>
        <w:rPr>
          <w:rFonts w:ascii="Times New Roman"/>
          <w:b w:val="false"/>
          <w:i w:val="false"/>
          <w:color w:val="000000"/>
          <w:sz w:val="28"/>
        </w:rPr>
        <w:t>
      4) обеспечение процессов стабилизации отходов в пределах горных выработок и шахтных пустот;</w:t>
      </w:r>
    </w:p>
    <w:p>
      <w:pPr>
        <w:spacing w:after="0"/>
        <w:ind w:left="0"/>
        <w:jc w:val="both"/>
      </w:pPr>
      <w:r>
        <w:rPr>
          <w:rFonts w:ascii="Times New Roman"/>
          <w:b w:val="false"/>
          <w:i w:val="false"/>
          <w:color w:val="000000"/>
          <w:sz w:val="28"/>
        </w:rPr>
        <w:t>
      5) соблюдение требований промышленной безопасности;</w:t>
      </w:r>
    </w:p>
    <w:p>
      <w:pPr>
        <w:spacing w:after="0"/>
        <w:ind w:left="0"/>
        <w:jc w:val="both"/>
      </w:pPr>
      <w:r>
        <w:rPr>
          <w:rFonts w:ascii="Times New Roman"/>
          <w:b w:val="false"/>
          <w:i w:val="false"/>
          <w:color w:val="000000"/>
          <w:sz w:val="28"/>
        </w:rPr>
        <w:t>
      6) планирование и осуществление мероприятий по локализации и ликвидации аварий и их последствий;</w:t>
      </w:r>
    </w:p>
    <w:p>
      <w:pPr>
        <w:spacing w:after="0"/>
        <w:ind w:left="0"/>
        <w:jc w:val="both"/>
      </w:pPr>
      <w:r>
        <w:rPr>
          <w:rFonts w:ascii="Times New Roman"/>
          <w:b w:val="false"/>
          <w:i w:val="false"/>
          <w:color w:val="000000"/>
          <w:sz w:val="28"/>
        </w:rPr>
        <w:t>
      7) регулярные наблюдения за состоянием сооружений мест подземного захоронения, защитных устройств и принятие оперативных мер по предотвращению аварийных ситуаций;</w:t>
      </w:r>
    </w:p>
    <w:p>
      <w:pPr>
        <w:spacing w:after="0"/>
        <w:ind w:left="0"/>
        <w:jc w:val="both"/>
      </w:pPr>
      <w:r>
        <w:rPr>
          <w:rFonts w:ascii="Times New Roman"/>
          <w:b w:val="false"/>
          <w:i w:val="false"/>
          <w:color w:val="000000"/>
          <w:sz w:val="28"/>
        </w:rPr>
        <w:t>
      8) создание системы наблюдения, оповещения, связи и поддержки действий в случае аварий, инцидентов;</w:t>
      </w:r>
    </w:p>
    <w:p>
      <w:pPr>
        <w:spacing w:after="0"/>
        <w:ind w:left="0"/>
        <w:jc w:val="both"/>
      </w:pPr>
      <w:r>
        <w:rPr>
          <w:rFonts w:ascii="Times New Roman"/>
          <w:b w:val="false"/>
          <w:i w:val="false"/>
          <w:color w:val="000000"/>
          <w:sz w:val="28"/>
        </w:rPr>
        <w:t>
      9) мониторинг окружающей среды – режимные наблюдения за состоянием атмосферного воздуха и водных объектов в зоне влияния мест подземного захоронения, анализ их результатов, прогноз дальнейших изменений;</w:t>
      </w:r>
    </w:p>
    <w:p>
      <w:pPr>
        <w:spacing w:after="0"/>
        <w:ind w:left="0"/>
        <w:jc w:val="both"/>
      </w:pPr>
      <w:r>
        <w:rPr>
          <w:rFonts w:ascii="Times New Roman"/>
          <w:b w:val="false"/>
          <w:i w:val="false"/>
          <w:color w:val="000000"/>
          <w:sz w:val="28"/>
        </w:rPr>
        <w:t>
      10) и требования, предусмотренные законодательством Республики Казахстан в области охраны окружающей среды.</w:t>
      </w:r>
    </w:p>
    <w:bookmarkStart w:name="z85" w:id="82"/>
    <w:p>
      <w:pPr>
        <w:spacing w:after="0"/>
        <w:ind w:left="0"/>
        <w:jc w:val="both"/>
      </w:pPr>
      <w:r>
        <w:rPr>
          <w:rFonts w:ascii="Times New Roman"/>
          <w:b w:val="false"/>
          <w:i w:val="false"/>
          <w:color w:val="000000"/>
          <w:sz w:val="28"/>
        </w:rPr>
        <w:t xml:space="preserve">
      42. Объекты и сооружения промышленной площадки (наземные резервуары и оборудование, железнодорожные и сливоналивные эстакады, узлы перегрузки, расфасовочные и раздаточные пункты, насосные и компрессорные станции, административно-хозяйственные здания и помещения), инженерные системы (противопожарный водопровод, установки пожаротушения, системы обнаружения и тушения пожаров, канализации, электроснабжения, связи, сигнализации), а также благоустройство территории мест подземного захоронения (дорог, подъездов, проездов) проектируются в соответствии с нормативными документами, действующими на момент проектирования мест подземного захоронения. </w:t>
      </w:r>
    </w:p>
    <w:bookmarkEnd w:id="82"/>
    <w:bookmarkStart w:name="z86" w:id="83"/>
    <w:p>
      <w:pPr>
        <w:spacing w:after="0"/>
        <w:ind w:left="0"/>
        <w:jc w:val="both"/>
      </w:pPr>
      <w:r>
        <w:rPr>
          <w:rFonts w:ascii="Times New Roman"/>
          <w:b w:val="false"/>
          <w:i w:val="false"/>
          <w:color w:val="000000"/>
          <w:sz w:val="28"/>
        </w:rPr>
        <w:t xml:space="preserve">
      43. Стадийность оценки воздействия на окружающую среду и порядок ее проведения приведены в </w:t>
      </w:r>
      <w:r>
        <w:rPr>
          <w:rFonts w:ascii="Times New Roman"/>
          <w:b w:val="false"/>
          <w:i w:val="false"/>
          <w:color w:val="000000"/>
          <w:sz w:val="28"/>
        </w:rPr>
        <w:t>статьях 37</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xml:space="preserve"> Кодекса и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оценки воздействия на окружающую среду, утвержденной приказом Министра охраны окружающей среды Республики Казахстан от 28 июня 2007 года № 204-П (зарегистрированный в Реестре государственной регистрации нормативных правовых актов под № 4825).</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энергетики РК от 14.06.2017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4"/>
    <w:p>
      <w:pPr>
        <w:spacing w:after="0"/>
        <w:ind w:left="0"/>
        <w:jc w:val="left"/>
      </w:pPr>
      <w:r>
        <w:rPr>
          <w:rFonts w:ascii="Times New Roman"/>
          <w:b/>
          <w:i w:val="false"/>
          <w:color w:val="000000"/>
        </w:rPr>
        <w:t xml:space="preserve"> 5. Экологические нормативы и требования к предварительной</w:t>
      </w:r>
      <w:r>
        <w:br/>
      </w:r>
      <w:r>
        <w:rPr>
          <w:rFonts w:ascii="Times New Roman"/>
          <w:b/>
          <w:i w:val="false"/>
          <w:color w:val="000000"/>
        </w:rPr>
        <w:t>подготовке мест подземного захоронения мышьяксодержащих отходов</w:t>
      </w:r>
    </w:p>
    <w:bookmarkEnd w:id="84"/>
    <w:bookmarkStart w:name="z88" w:id="85"/>
    <w:p>
      <w:pPr>
        <w:spacing w:after="0"/>
        <w:ind w:left="0"/>
        <w:jc w:val="both"/>
      </w:pPr>
      <w:r>
        <w:rPr>
          <w:rFonts w:ascii="Times New Roman"/>
          <w:b w:val="false"/>
          <w:i w:val="false"/>
          <w:color w:val="000000"/>
          <w:sz w:val="28"/>
        </w:rPr>
        <w:t>
      44. Для подземного захоронения мышьяксодержащих отходов проводится подготовка мест подземного захоронения, в целях обеспечения безопасности работ и полноту заполнения горных выработок и шахтных пустот, а также для дальнейшего мониторинга грунтовых и поверхностных вод вокруг мест подземного захоронения мышьяксодержащих отходов.</w:t>
      </w:r>
    </w:p>
    <w:bookmarkEnd w:id="85"/>
    <w:bookmarkStart w:name="z89" w:id="86"/>
    <w:p>
      <w:pPr>
        <w:spacing w:after="0"/>
        <w:ind w:left="0"/>
        <w:jc w:val="both"/>
      </w:pPr>
      <w:r>
        <w:rPr>
          <w:rFonts w:ascii="Times New Roman"/>
          <w:b w:val="false"/>
          <w:i w:val="false"/>
          <w:color w:val="000000"/>
          <w:sz w:val="28"/>
        </w:rPr>
        <w:t xml:space="preserve">
      45. Перед заполнением используемых горных выработок и шахтных пустот рудников проводятся работы по зачистке и укреплению нарушенных интервалов участков захоронения. </w:t>
      </w:r>
    </w:p>
    <w:bookmarkEnd w:id="86"/>
    <w:bookmarkStart w:name="z90" w:id="87"/>
    <w:p>
      <w:pPr>
        <w:spacing w:after="0"/>
        <w:ind w:left="0"/>
        <w:jc w:val="both"/>
      </w:pPr>
      <w:r>
        <w:rPr>
          <w:rFonts w:ascii="Times New Roman"/>
          <w:b w:val="false"/>
          <w:i w:val="false"/>
          <w:color w:val="000000"/>
          <w:sz w:val="28"/>
        </w:rPr>
        <w:t>
      46. В горных выработках и шахтных пустотах рудников, предназначенных для захоронения отходов в специальных герметичных контейнерах, производится планировка и выравнивание поверхности, для обеспечения равномерности и плотности укладки упакованных отходов, исключающих нарушение герметичности и целостности упаковки.</w:t>
      </w:r>
    </w:p>
    <w:bookmarkEnd w:id="87"/>
    <w:bookmarkStart w:name="z91" w:id="88"/>
    <w:p>
      <w:pPr>
        <w:spacing w:after="0"/>
        <w:ind w:left="0"/>
        <w:jc w:val="both"/>
      </w:pPr>
      <w:r>
        <w:rPr>
          <w:rFonts w:ascii="Times New Roman"/>
          <w:b w:val="false"/>
          <w:i w:val="false"/>
          <w:color w:val="000000"/>
          <w:sz w:val="28"/>
        </w:rPr>
        <w:t>
      47. При наличии трещин на боковых откосах и потолке горных выработок и шахтных пустот рудников производятся работы по заполнению трещин водонепроницаемыми материалами (глиной, битумом, гудроном).</w:t>
      </w:r>
    </w:p>
    <w:bookmarkEnd w:id="88"/>
    <w:bookmarkStart w:name="z92" w:id="89"/>
    <w:p>
      <w:pPr>
        <w:spacing w:after="0"/>
        <w:ind w:left="0"/>
        <w:jc w:val="both"/>
      </w:pPr>
      <w:r>
        <w:rPr>
          <w:rFonts w:ascii="Times New Roman"/>
          <w:b w:val="false"/>
          <w:i w:val="false"/>
          <w:color w:val="000000"/>
          <w:sz w:val="28"/>
        </w:rPr>
        <w:t>
      48. При использовании наклонных и вертикальных горных выработок для размещения упакованных мышьяксодержащих отходов устанавливаются изолирующие сплошные железобетонные перемычки на расстоянии 5 метров выше уровня наивысшего сезонного стояния подземных вод, а также предусматриваются аналогичные перемычки для изоляции горных выработок и шахтных пустот, в которых производится размещение отходов от сопрягающихся горных выработок.</w:t>
      </w:r>
    </w:p>
    <w:bookmarkEnd w:id="89"/>
    <w:bookmarkStart w:name="z93" w:id="90"/>
    <w:p>
      <w:pPr>
        <w:spacing w:after="0"/>
        <w:ind w:left="0"/>
        <w:jc w:val="both"/>
      </w:pPr>
      <w:r>
        <w:rPr>
          <w:rFonts w:ascii="Times New Roman"/>
          <w:b w:val="false"/>
          <w:i w:val="false"/>
          <w:color w:val="000000"/>
          <w:sz w:val="28"/>
        </w:rPr>
        <w:t>
      49. На местах подземного захоронения отходов, в случае искусственного поддержания уровня наивысшего состояния подземных вод, предусматривается оборудование очистных сооружений.</w:t>
      </w:r>
    </w:p>
    <w:bookmarkEnd w:id="90"/>
    <w:bookmarkStart w:name="z94" w:id="91"/>
    <w:p>
      <w:pPr>
        <w:spacing w:after="0"/>
        <w:ind w:left="0"/>
        <w:jc w:val="left"/>
      </w:pPr>
      <w:r>
        <w:rPr>
          <w:rFonts w:ascii="Times New Roman"/>
          <w:b/>
          <w:i w:val="false"/>
          <w:color w:val="000000"/>
        </w:rPr>
        <w:t xml:space="preserve"> 6. Экологические нормативы и требования к санитарно-защитным</w:t>
      </w:r>
      <w:r>
        <w:br/>
      </w:r>
      <w:r>
        <w:rPr>
          <w:rFonts w:ascii="Times New Roman"/>
          <w:b/>
          <w:i w:val="false"/>
          <w:color w:val="000000"/>
        </w:rPr>
        <w:t>зонам мест подземного захоронения мышьяксодержащих отходов</w:t>
      </w:r>
    </w:p>
    <w:bookmarkEnd w:id="91"/>
    <w:bookmarkStart w:name="z95" w:id="92"/>
    <w:p>
      <w:pPr>
        <w:spacing w:after="0"/>
        <w:ind w:left="0"/>
        <w:jc w:val="both"/>
      </w:pPr>
      <w:r>
        <w:rPr>
          <w:rFonts w:ascii="Times New Roman"/>
          <w:b w:val="false"/>
          <w:i w:val="false"/>
          <w:color w:val="000000"/>
          <w:sz w:val="28"/>
        </w:rPr>
        <w:t>
      50. На местах подземного захоронения для обеспечения уровня безопасности населения проводится организация санитарно-защитной зоны.</w:t>
      </w:r>
    </w:p>
    <w:bookmarkEnd w:id="92"/>
    <w:bookmarkStart w:name="z96" w:id="93"/>
    <w:p>
      <w:pPr>
        <w:spacing w:after="0"/>
        <w:ind w:left="0"/>
        <w:jc w:val="both"/>
      </w:pPr>
      <w:r>
        <w:rPr>
          <w:rFonts w:ascii="Times New Roman"/>
          <w:b w:val="false"/>
          <w:i w:val="false"/>
          <w:color w:val="000000"/>
          <w:sz w:val="28"/>
        </w:rPr>
        <w:t xml:space="preserve">
      51. Размер санитарно-защитной зоны мест подземного захоронения устанавливается согласно Санитарным правилам "Санитарно-эпидемиологические требования по установлению санитарно-защитной зоны производственных объектов",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237 (зарегистрированный в Реестре государственной регистрации нормативных правовых актов № 11124).</w:t>
      </w:r>
    </w:p>
    <w:bookmarkEnd w:id="93"/>
    <w:bookmarkStart w:name="z99" w:id="94"/>
    <w:p>
      <w:pPr>
        <w:spacing w:after="0"/>
        <w:ind w:left="0"/>
        <w:jc w:val="both"/>
      </w:pPr>
      <w:r>
        <w:rPr>
          <w:rFonts w:ascii="Times New Roman"/>
          <w:b w:val="false"/>
          <w:i w:val="false"/>
          <w:color w:val="000000"/>
          <w:sz w:val="28"/>
        </w:rPr>
        <w:t>
      52. Минимальные расстояния санитарно-защитных зон мест подземного захоронения отходов принимаются от устьев эксплуатируемых горных выработок и шахтных пустот рудников.</w:t>
      </w:r>
    </w:p>
    <w:bookmarkEnd w:id="94"/>
    <w:bookmarkStart w:name="z100" w:id="95"/>
    <w:p>
      <w:pPr>
        <w:spacing w:after="0"/>
        <w:ind w:left="0"/>
        <w:jc w:val="both"/>
      </w:pPr>
      <w:r>
        <w:rPr>
          <w:rFonts w:ascii="Times New Roman"/>
          <w:b w:val="false"/>
          <w:i w:val="false"/>
          <w:color w:val="000000"/>
          <w:sz w:val="28"/>
        </w:rPr>
        <w:t>
      53. На территории санитарно-защитной зоны мест подземного захоронения отходов не осуществляется строительство жилья, детских учреждений, объектов социально-культурного и бытового обслуживания, а также устройство мест для отдыха и занятия спортом.</w:t>
      </w:r>
    </w:p>
    <w:bookmarkEnd w:id="95"/>
    <w:bookmarkStart w:name="z101" w:id="96"/>
    <w:p>
      <w:pPr>
        <w:spacing w:after="0"/>
        <w:ind w:left="0"/>
        <w:jc w:val="left"/>
      </w:pPr>
      <w:r>
        <w:rPr>
          <w:rFonts w:ascii="Times New Roman"/>
          <w:b/>
          <w:i w:val="false"/>
          <w:color w:val="000000"/>
        </w:rPr>
        <w:t xml:space="preserve"> 7. Экологические нормативы и требования к составу и токсичности</w:t>
      </w:r>
      <w:r>
        <w:br/>
      </w:r>
      <w:r>
        <w:rPr>
          <w:rFonts w:ascii="Times New Roman"/>
          <w:b/>
          <w:i w:val="false"/>
          <w:color w:val="000000"/>
        </w:rPr>
        <w:t>мышьяксодержащих отходов для подземного захоронения</w:t>
      </w:r>
    </w:p>
    <w:bookmarkEnd w:id="96"/>
    <w:bookmarkStart w:name="z102" w:id="97"/>
    <w:p>
      <w:pPr>
        <w:spacing w:after="0"/>
        <w:ind w:left="0"/>
        <w:jc w:val="both"/>
      </w:pPr>
      <w:r>
        <w:rPr>
          <w:rFonts w:ascii="Times New Roman"/>
          <w:b w:val="false"/>
          <w:i w:val="false"/>
          <w:color w:val="000000"/>
          <w:sz w:val="28"/>
        </w:rPr>
        <w:t xml:space="preserve">
      54. Для определения качественного состава и выявления индекса опасности отхода, предназначенного для подземного захоронения, проводятся лабораторные исследования. </w:t>
      </w:r>
    </w:p>
    <w:bookmarkEnd w:id="97"/>
    <w:bookmarkStart w:name="z103" w:id="98"/>
    <w:p>
      <w:pPr>
        <w:spacing w:after="0"/>
        <w:ind w:left="0"/>
        <w:jc w:val="both"/>
      </w:pPr>
      <w:r>
        <w:rPr>
          <w:rFonts w:ascii="Times New Roman"/>
          <w:b w:val="false"/>
          <w:i w:val="false"/>
          <w:color w:val="000000"/>
          <w:sz w:val="28"/>
        </w:rPr>
        <w:t>
      55. В местах подземного захоронения размещаются мышьяксодержащие отходы, имеющие индекс опасности не более 2 000.</w:t>
      </w:r>
    </w:p>
    <w:bookmarkEnd w:id="98"/>
    <w:bookmarkStart w:name="z104" w:id="99"/>
    <w:p>
      <w:pPr>
        <w:spacing w:after="0"/>
        <w:ind w:left="0"/>
        <w:jc w:val="both"/>
      </w:pPr>
      <w:r>
        <w:rPr>
          <w:rFonts w:ascii="Times New Roman"/>
          <w:b w:val="false"/>
          <w:i w:val="false"/>
          <w:color w:val="000000"/>
          <w:sz w:val="28"/>
        </w:rPr>
        <w:t>
      56. По физическому состоянию мышьяксодержащие отходы размещаются в местах подземного захоронения в твердом и пастообразном состоянии.</w:t>
      </w:r>
    </w:p>
    <w:bookmarkEnd w:id="99"/>
    <w:bookmarkStart w:name="z105" w:id="100"/>
    <w:p>
      <w:pPr>
        <w:spacing w:after="0"/>
        <w:ind w:left="0"/>
        <w:jc w:val="both"/>
      </w:pPr>
      <w:r>
        <w:rPr>
          <w:rFonts w:ascii="Times New Roman"/>
          <w:b w:val="false"/>
          <w:i w:val="false"/>
          <w:color w:val="000000"/>
          <w:sz w:val="28"/>
        </w:rPr>
        <w:t>
      57. Твердые и пастообразные мышьяксодержащие отходы, имеющие индекс опасности выше 2000, при технической возможности, перед захоронением перерабатываются для снижения уровня опасности.</w:t>
      </w:r>
    </w:p>
    <w:bookmarkEnd w:id="100"/>
    <w:bookmarkStart w:name="z106" w:id="101"/>
    <w:p>
      <w:pPr>
        <w:spacing w:after="0"/>
        <w:ind w:left="0"/>
        <w:jc w:val="both"/>
      </w:pPr>
      <w:r>
        <w:rPr>
          <w:rFonts w:ascii="Times New Roman"/>
          <w:b w:val="false"/>
          <w:i w:val="false"/>
          <w:color w:val="000000"/>
          <w:sz w:val="28"/>
        </w:rPr>
        <w:t>
      58. Индекс опасности промышленных отходов указывается в паспорте опасности отходов.</w:t>
      </w:r>
    </w:p>
    <w:bookmarkEnd w:id="101"/>
    <w:bookmarkStart w:name="z107" w:id="102"/>
    <w:p>
      <w:pPr>
        <w:spacing w:after="0"/>
        <w:ind w:left="0"/>
        <w:jc w:val="both"/>
      </w:pPr>
      <w:r>
        <w:rPr>
          <w:rFonts w:ascii="Times New Roman"/>
          <w:b w:val="false"/>
          <w:i w:val="false"/>
          <w:color w:val="000000"/>
          <w:sz w:val="28"/>
        </w:rPr>
        <w:t xml:space="preserve">
      59. Влажность мышьяксодержащих отходов, предназначенных для подземного захоронения, составляет не более 35 %. </w:t>
      </w:r>
    </w:p>
    <w:bookmarkEnd w:id="102"/>
    <w:bookmarkStart w:name="z108" w:id="103"/>
    <w:p>
      <w:pPr>
        <w:spacing w:after="0"/>
        <w:ind w:left="0"/>
        <w:jc w:val="left"/>
      </w:pPr>
      <w:r>
        <w:rPr>
          <w:rFonts w:ascii="Times New Roman"/>
          <w:b/>
          <w:i w:val="false"/>
          <w:color w:val="000000"/>
        </w:rPr>
        <w:t xml:space="preserve"> 8. Экологические нормативы и требования к сбору, хранению и</w:t>
      </w:r>
      <w:r>
        <w:br/>
      </w:r>
      <w:r>
        <w:rPr>
          <w:rFonts w:ascii="Times New Roman"/>
          <w:b/>
          <w:i w:val="false"/>
          <w:color w:val="000000"/>
        </w:rPr>
        <w:t>транспортировке мышьяксодержащих отходов</w:t>
      </w:r>
    </w:p>
    <w:bookmarkEnd w:id="103"/>
    <w:bookmarkStart w:name="z109" w:id="104"/>
    <w:p>
      <w:pPr>
        <w:spacing w:after="0"/>
        <w:ind w:left="0"/>
        <w:jc w:val="both"/>
      </w:pPr>
      <w:r>
        <w:rPr>
          <w:rFonts w:ascii="Times New Roman"/>
          <w:b w:val="false"/>
          <w:i w:val="false"/>
          <w:color w:val="000000"/>
          <w:sz w:val="28"/>
        </w:rPr>
        <w:t>
      60. Хранение мышьяксодержащих отходов в открытом виде (навалом, насыпью) или в негерметичной открытой таре в складах и на специальной площадке не осуществляется.</w:t>
      </w:r>
    </w:p>
    <w:bookmarkEnd w:id="104"/>
    <w:bookmarkStart w:name="z110" w:id="105"/>
    <w:p>
      <w:pPr>
        <w:spacing w:after="0"/>
        <w:ind w:left="0"/>
        <w:jc w:val="both"/>
      </w:pPr>
      <w:r>
        <w:rPr>
          <w:rFonts w:ascii="Times New Roman"/>
          <w:b w:val="false"/>
          <w:i w:val="false"/>
          <w:color w:val="000000"/>
          <w:sz w:val="28"/>
        </w:rPr>
        <w:t xml:space="preserve">
      61. Для подземного захоронения мышьяксодержащие отходы собираются в специальные герметичные контейнеры (полиэтиленовые мешки особой прочности или пластиковые бочки, фляги, бидоны, канистры), массой не более двух тонн, проверенные на герметичность и прочность. Проверка на целостность осуществляется работниками производителя отходов визуально до и после заполнения отходами. </w:t>
      </w:r>
    </w:p>
    <w:bookmarkEnd w:id="105"/>
    <w:bookmarkStart w:name="z111" w:id="106"/>
    <w:p>
      <w:pPr>
        <w:spacing w:after="0"/>
        <w:ind w:left="0"/>
        <w:jc w:val="both"/>
      </w:pPr>
      <w:r>
        <w:rPr>
          <w:rFonts w:ascii="Times New Roman"/>
          <w:b w:val="false"/>
          <w:i w:val="false"/>
          <w:color w:val="000000"/>
          <w:sz w:val="28"/>
        </w:rPr>
        <w:t>
      Конструкционный материал контейнера обладает долговременной коррозионной стойкостью по отношению к отходам.</w:t>
      </w:r>
    </w:p>
    <w:bookmarkEnd w:id="106"/>
    <w:bookmarkStart w:name="z112" w:id="107"/>
    <w:p>
      <w:pPr>
        <w:spacing w:after="0"/>
        <w:ind w:left="0"/>
        <w:jc w:val="both"/>
      </w:pPr>
      <w:r>
        <w:rPr>
          <w:rFonts w:ascii="Times New Roman"/>
          <w:b w:val="false"/>
          <w:i w:val="false"/>
          <w:color w:val="000000"/>
          <w:sz w:val="28"/>
        </w:rPr>
        <w:t>
      62. В местах подземного захоронения отходов предусматриваются мероприятия по механизации погрузки отходов в специализированный автотранспорт для транспортировки на места подземного захоронения.</w:t>
      </w:r>
    </w:p>
    <w:bookmarkEnd w:id="107"/>
    <w:bookmarkStart w:name="z113" w:id="108"/>
    <w:p>
      <w:pPr>
        <w:spacing w:after="0"/>
        <w:ind w:left="0"/>
        <w:jc w:val="both"/>
      </w:pPr>
      <w:r>
        <w:rPr>
          <w:rFonts w:ascii="Times New Roman"/>
          <w:b w:val="false"/>
          <w:i w:val="false"/>
          <w:color w:val="000000"/>
          <w:sz w:val="28"/>
        </w:rPr>
        <w:t>
      63. Весь автотранспорт, предназначенный для транспортировки мышьяксодержащих отходов, оборудуется для их безопасной перевозки, включая следующие требования и нормы:</w:t>
      </w:r>
    </w:p>
    <w:bookmarkEnd w:id="108"/>
    <w:bookmarkStart w:name="z114" w:id="109"/>
    <w:p>
      <w:pPr>
        <w:spacing w:after="0"/>
        <w:ind w:left="0"/>
        <w:jc w:val="both"/>
      </w:pPr>
      <w:r>
        <w:rPr>
          <w:rFonts w:ascii="Times New Roman"/>
          <w:b w:val="false"/>
          <w:i w:val="false"/>
          <w:color w:val="000000"/>
          <w:sz w:val="28"/>
        </w:rPr>
        <w:t>
      1) обеспечение механизации погрузки и выгрузки отходов;</w:t>
      </w:r>
    </w:p>
    <w:bookmarkEnd w:id="109"/>
    <w:bookmarkStart w:name="z115" w:id="110"/>
    <w:p>
      <w:pPr>
        <w:spacing w:after="0"/>
        <w:ind w:left="0"/>
        <w:jc w:val="both"/>
      </w:pPr>
      <w:r>
        <w:rPr>
          <w:rFonts w:ascii="Times New Roman"/>
          <w:b w:val="false"/>
          <w:i w:val="false"/>
          <w:color w:val="000000"/>
          <w:sz w:val="28"/>
        </w:rPr>
        <w:t>
      2) исключение возможности потери отходов и загрязнения окружающей среды при погрузке, транспортировке и выгрузке;</w:t>
      </w:r>
    </w:p>
    <w:bookmarkEnd w:id="110"/>
    <w:bookmarkStart w:name="z116" w:id="111"/>
    <w:p>
      <w:pPr>
        <w:spacing w:after="0"/>
        <w:ind w:left="0"/>
        <w:jc w:val="both"/>
      </w:pPr>
      <w:r>
        <w:rPr>
          <w:rFonts w:ascii="Times New Roman"/>
          <w:b w:val="false"/>
          <w:i w:val="false"/>
          <w:color w:val="000000"/>
          <w:sz w:val="28"/>
        </w:rPr>
        <w:t>
      3) обеспечение удобства и безопасности обслуживания.</w:t>
      </w:r>
    </w:p>
    <w:bookmarkEnd w:id="111"/>
    <w:bookmarkStart w:name="z117" w:id="112"/>
    <w:p>
      <w:pPr>
        <w:spacing w:after="0"/>
        <w:ind w:left="0"/>
        <w:jc w:val="both"/>
      </w:pPr>
      <w:r>
        <w:rPr>
          <w:rFonts w:ascii="Times New Roman"/>
          <w:b w:val="false"/>
          <w:i w:val="false"/>
          <w:color w:val="000000"/>
          <w:sz w:val="28"/>
        </w:rPr>
        <w:t xml:space="preserve">
      64. Природопользователь, учитывая технические характеристики отходов, выбирает маршрут перевозки мышьяксодержащих отходов с обеспечением безопасности движения на дорогах. </w:t>
      </w:r>
    </w:p>
    <w:bookmarkEnd w:id="112"/>
    <w:bookmarkStart w:name="z118" w:id="113"/>
    <w:p>
      <w:pPr>
        <w:spacing w:after="0"/>
        <w:ind w:left="0"/>
        <w:jc w:val="both"/>
      </w:pPr>
      <w:r>
        <w:rPr>
          <w:rFonts w:ascii="Times New Roman"/>
          <w:b w:val="false"/>
          <w:i w:val="false"/>
          <w:color w:val="000000"/>
          <w:sz w:val="28"/>
        </w:rPr>
        <w:t>
      65. При выборе маршрута перевозки выполняется следующее:</w:t>
      </w:r>
    </w:p>
    <w:bookmarkEnd w:id="113"/>
    <w:bookmarkStart w:name="z119" w:id="114"/>
    <w:p>
      <w:pPr>
        <w:spacing w:after="0"/>
        <w:ind w:left="0"/>
        <w:jc w:val="both"/>
      </w:pPr>
      <w:r>
        <w:rPr>
          <w:rFonts w:ascii="Times New Roman"/>
          <w:b w:val="false"/>
          <w:i w:val="false"/>
          <w:color w:val="000000"/>
          <w:sz w:val="28"/>
        </w:rPr>
        <w:t>
      1) маршрут перевозки проходит за пределами населенных пунктов и зон отдыха, природных заповедников и архитектурных памятников;</w:t>
      </w:r>
    </w:p>
    <w:bookmarkEnd w:id="114"/>
    <w:bookmarkStart w:name="z120" w:id="115"/>
    <w:p>
      <w:pPr>
        <w:spacing w:after="0"/>
        <w:ind w:left="0"/>
        <w:jc w:val="both"/>
      </w:pPr>
      <w:r>
        <w:rPr>
          <w:rFonts w:ascii="Times New Roman"/>
          <w:b w:val="false"/>
          <w:i w:val="false"/>
          <w:color w:val="000000"/>
          <w:sz w:val="28"/>
        </w:rPr>
        <w:t>
      2) в случае перевозки отходов внутри населенных пунктов маршрут перевозки проходит за пределами культурно-просветительских, учебных, дошкольных и лечебных учреждений.</w:t>
      </w:r>
    </w:p>
    <w:bookmarkEnd w:id="115"/>
    <w:bookmarkStart w:name="z121" w:id="116"/>
    <w:p>
      <w:pPr>
        <w:spacing w:after="0"/>
        <w:ind w:left="0"/>
        <w:jc w:val="both"/>
      </w:pPr>
      <w:r>
        <w:rPr>
          <w:rFonts w:ascii="Times New Roman"/>
          <w:b w:val="false"/>
          <w:i w:val="false"/>
          <w:color w:val="000000"/>
          <w:sz w:val="28"/>
        </w:rPr>
        <w:t>
      66. При транспортировке мышьяксодержащих отходов в горные выработки и шахтные пустоты, используется специализированная шахтная техника (самосвалы, краны манипуляторы, погрузчики).</w:t>
      </w:r>
    </w:p>
    <w:bookmarkEnd w:id="116"/>
    <w:bookmarkStart w:name="z122" w:id="117"/>
    <w:p>
      <w:pPr>
        <w:spacing w:after="0"/>
        <w:ind w:left="0"/>
        <w:jc w:val="both"/>
      </w:pPr>
      <w:r>
        <w:rPr>
          <w:rFonts w:ascii="Times New Roman"/>
          <w:b w:val="false"/>
          <w:i w:val="false"/>
          <w:color w:val="000000"/>
          <w:sz w:val="28"/>
        </w:rPr>
        <w:t>
      67. Природопользователь, осуществляющий подземное захоронение мышьяксодержащих отходов, разрабатывает:</w:t>
      </w:r>
    </w:p>
    <w:bookmarkEnd w:id="117"/>
    <w:bookmarkStart w:name="z123" w:id="118"/>
    <w:p>
      <w:pPr>
        <w:spacing w:after="0"/>
        <w:ind w:left="0"/>
        <w:jc w:val="both"/>
      </w:pPr>
      <w:r>
        <w:rPr>
          <w:rFonts w:ascii="Times New Roman"/>
          <w:b w:val="false"/>
          <w:i w:val="false"/>
          <w:color w:val="000000"/>
          <w:sz w:val="28"/>
        </w:rPr>
        <w:t>
      1) инструкцию по сбору, приему, хранению и размещению (в соответствии с физическим состоянием и классом опасности) и отгрузке (транспортировке) отходов, исключающих их распыление, россыпь, пролив, самовозгорание, взрыв;</w:t>
      </w:r>
    </w:p>
    <w:bookmarkEnd w:id="118"/>
    <w:bookmarkStart w:name="z124" w:id="119"/>
    <w:p>
      <w:pPr>
        <w:spacing w:after="0"/>
        <w:ind w:left="0"/>
        <w:jc w:val="both"/>
      </w:pPr>
      <w:r>
        <w:rPr>
          <w:rFonts w:ascii="Times New Roman"/>
          <w:b w:val="false"/>
          <w:i w:val="false"/>
          <w:color w:val="000000"/>
          <w:sz w:val="28"/>
        </w:rPr>
        <w:t>
      2) инструкцию по технике безопасности, противопожарной профилактике и производственной санитарии для персонала, занятого сбором, хранением, отгрузкой (транспортировкой) и захоронением мышьяксодержащих отходов на местах подземного захоронения.</w:t>
      </w:r>
    </w:p>
    <w:bookmarkEnd w:id="119"/>
    <w:bookmarkStart w:name="z125" w:id="120"/>
    <w:p>
      <w:pPr>
        <w:spacing w:after="0"/>
        <w:ind w:left="0"/>
        <w:jc w:val="both"/>
      </w:pPr>
      <w:r>
        <w:rPr>
          <w:rFonts w:ascii="Times New Roman"/>
          <w:b w:val="false"/>
          <w:i w:val="false"/>
          <w:color w:val="000000"/>
          <w:sz w:val="28"/>
        </w:rPr>
        <w:t>
      68. Для промышленной площадки мест подземного захоронения (независимо от их вместимости) предусматриваются два выезда на автомобильные дороги общей сети или на подъездные пути. Расстояния между объектами и сооружениями мест подземного захоронения обеспечивают возможность подъездов пожарной техники непосредственно к устьям горных выработок.</w:t>
      </w:r>
    </w:p>
    <w:bookmarkEnd w:id="120"/>
    <w:bookmarkStart w:name="z126" w:id="121"/>
    <w:p>
      <w:pPr>
        <w:spacing w:after="0"/>
        <w:ind w:left="0"/>
        <w:jc w:val="both"/>
      </w:pPr>
      <w:r>
        <w:rPr>
          <w:rFonts w:ascii="Times New Roman"/>
          <w:b w:val="false"/>
          <w:i w:val="false"/>
          <w:color w:val="000000"/>
          <w:sz w:val="28"/>
        </w:rPr>
        <w:t>
      69. Количество перевозимых отходов соответствует грузовому объему транспорта. При транспортировке отходов исключается загрязнение окружающей среды в местах их перевозки, погрузки и разгрузки.</w:t>
      </w:r>
    </w:p>
    <w:bookmarkEnd w:id="121"/>
    <w:bookmarkStart w:name="z127" w:id="122"/>
    <w:p>
      <w:pPr>
        <w:spacing w:after="0"/>
        <w:ind w:left="0"/>
        <w:jc w:val="left"/>
      </w:pPr>
      <w:r>
        <w:rPr>
          <w:rFonts w:ascii="Times New Roman"/>
          <w:b/>
          <w:i w:val="false"/>
          <w:color w:val="000000"/>
        </w:rPr>
        <w:t xml:space="preserve"> 9. Экологические нормативы и требования к захоронению, укладке</w:t>
      </w:r>
      <w:r>
        <w:br/>
      </w:r>
      <w:r>
        <w:rPr>
          <w:rFonts w:ascii="Times New Roman"/>
          <w:b/>
          <w:i w:val="false"/>
          <w:color w:val="000000"/>
        </w:rPr>
        <w:t>мышьяксодержащих отходов в места подземного захоронения</w:t>
      </w:r>
    </w:p>
    <w:bookmarkEnd w:id="122"/>
    <w:bookmarkStart w:name="z128" w:id="123"/>
    <w:p>
      <w:pPr>
        <w:spacing w:after="0"/>
        <w:ind w:left="0"/>
        <w:jc w:val="both"/>
      </w:pPr>
      <w:r>
        <w:rPr>
          <w:rFonts w:ascii="Times New Roman"/>
          <w:b w:val="false"/>
          <w:i w:val="false"/>
          <w:color w:val="000000"/>
          <w:sz w:val="28"/>
        </w:rPr>
        <w:t>
      70. Для доставки и последующей укладки отходов в горные выработки и шахтные пустоты рудников, производится погрузка специальных герметичных контейнеров с мышьяксодержащими отходами в подземный самосвал с грузоподъемным механизмом на специализированной площадке (узел перегрузки).</w:t>
      </w:r>
    </w:p>
    <w:bookmarkEnd w:id="123"/>
    <w:bookmarkStart w:name="z129" w:id="124"/>
    <w:p>
      <w:pPr>
        <w:spacing w:after="0"/>
        <w:ind w:left="0"/>
        <w:jc w:val="both"/>
      </w:pPr>
      <w:r>
        <w:rPr>
          <w:rFonts w:ascii="Times New Roman"/>
          <w:b w:val="false"/>
          <w:i w:val="false"/>
          <w:color w:val="000000"/>
          <w:sz w:val="28"/>
        </w:rPr>
        <w:t xml:space="preserve">
      71. Захоронение мышьяксодержащих отходов в горных выработках и шахтных пустотах производится послойно, с учетом максимальных высот свода. </w:t>
      </w:r>
    </w:p>
    <w:bookmarkEnd w:id="124"/>
    <w:bookmarkStart w:name="z130" w:id="125"/>
    <w:p>
      <w:pPr>
        <w:spacing w:after="0"/>
        <w:ind w:left="0"/>
        <w:jc w:val="both"/>
      </w:pPr>
      <w:r>
        <w:rPr>
          <w:rFonts w:ascii="Times New Roman"/>
          <w:b w:val="false"/>
          <w:i w:val="false"/>
          <w:color w:val="000000"/>
          <w:sz w:val="28"/>
        </w:rPr>
        <w:t>
      72. Герметично упакованные отходы укладываются с периодичной установкой прочных изолирующих железобетонных перемычек. Количество и место установки изолирующих перемычек определяется их несущей способностью.</w:t>
      </w:r>
    </w:p>
    <w:bookmarkEnd w:id="125"/>
    <w:bookmarkStart w:name="z131" w:id="126"/>
    <w:p>
      <w:pPr>
        <w:spacing w:after="0"/>
        <w:ind w:left="0"/>
        <w:jc w:val="both"/>
      </w:pPr>
      <w:r>
        <w:rPr>
          <w:rFonts w:ascii="Times New Roman"/>
          <w:b w:val="false"/>
          <w:i w:val="false"/>
          <w:color w:val="000000"/>
          <w:sz w:val="28"/>
        </w:rPr>
        <w:t>
      73. Заполнение горных выработок и шахтных пустот производится согласно разработанным проектным решениям. Количество принимаемых отходов определяется в проектной документации.</w:t>
      </w:r>
    </w:p>
    <w:bookmarkEnd w:id="126"/>
    <w:bookmarkStart w:name="z132" w:id="127"/>
    <w:p>
      <w:pPr>
        <w:spacing w:after="0"/>
        <w:ind w:left="0"/>
        <w:jc w:val="both"/>
      </w:pPr>
      <w:r>
        <w:rPr>
          <w:rFonts w:ascii="Times New Roman"/>
          <w:b w:val="false"/>
          <w:i w:val="false"/>
          <w:color w:val="000000"/>
          <w:sz w:val="28"/>
        </w:rPr>
        <w:t>
      74. После окончательного заполнения горных выработок и шахтных пустот рудников мышьяксодержащими отходами, заключенными в специальные контейнеры, устье выработки перекрывается глухой изолирующей бетонной перемычкой, затем производится последующая засыпка слоем уплотненного грунта для исключения контакта контейнеров с мышьяксодержащими отходами с окружающей средой.</w:t>
      </w:r>
    </w:p>
    <w:bookmarkEnd w:id="127"/>
    <w:bookmarkStart w:name="z133" w:id="128"/>
    <w:p>
      <w:pPr>
        <w:spacing w:after="0"/>
        <w:ind w:left="0"/>
        <w:jc w:val="left"/>
      </w:pPr>
      <w:r>
        <w:rPr>
          <w:rFonts w:ascii="Times New Roman"/>
          <w:b/>
          <w:i w:val="false"/>
          <w:color w:val="000000"/>
        </w:rPr>
        <w:t xml:space="preserve"> 10. Экологические нормативы и требования к вспомогательным</w:t>
      </w:r>
      <w:r>
        <w:br/>
      </w:r>
      <w:r>
        <w:rPr>
          <w:rFonts w:ascii="Times New Roman"/>
          <w:b/>
          <w:i w:val="false"/>
          <w:color w:val="000000"/>
        </w:rPr>
        <w:t>объектам и сооружениям мест подземного захоронения</w:t>
      </w:r>
      <w:r>
        <w:br/>
      </w:r>
      <w:r>
        <w:rPr>
          <w:rFonts w:ascii="Times New Roman"/>
          <w:b/>
          <w:i w:val="false"/>
          <w:color w:val="000000"/>
        </w:rPr>
        <w:t>мышьяксодержащих отходов</w:t>
      </w:r>
    </w:p>
    <w:bookmarkEnd w:id="128"/>
    <w:bookmarkStart w:name="z134" w:id="129"/>
    <w:p>
      <w:pPr>
        <w:spacing w:after="0"/>
        <w:ind w:left="0"/>
        <w:jc w:val="both"/>
      </w:pPr>
      <w:r>
        <w:rPr>
          <w:rFonts w:ascii="Times New Roman"/>
          <w:b w:val="false"/>
          <w:i w:val="false"/>
          <w:color w:val="000000"/>
          <w:sz w:val="28"/>
        </w:rPr>
        <w:t xml:space="preserve">
      75. При наличии загрязненных вод на вспомогательных объектах и сооружениях, расположенных на наземной зоне мест подземного захоронения, организовывается их сбор и утилизация. </w:t>
      </w:r>
    </w:p>
    <w:bookmarkEnd w:id="129"/>
    <w:bookmarkStart w:name="z135" w:id="130"/>
    <w:p>
      <w:pPr>
        <w:spacing w:after="0"/>
        <w:ind w:left="0"/>
        <w:jc w:val="both"/>
      </w:pPr>
      <w:r>
        <w:rPr>
          <w:rFonts w:ascii="Times New Roman"/>
          <w:b w:val="false"/>
          <w:i w:val="false"/>
          <w:color w:val="000000"/>
          <w:sz w:val="28"/>
        </w:rPr>
        <w:t>
      76. На наземной зоне мест подземного захоронения отходов располагается узел перегрузки, куда доставляются мышьяксодержащие отходы, упакованные в специальные герметичные контейнеры, подготовленные для укладки в места подземного захоронения.</w:t>
      </w:r>
    </w:p>
    <w:bookmarkEnd w:id="130"/>
    <w:bookmarkStart w:name="z136" w:id="131"/>
    <w:p>
      <w:pPr>
        <w:spacing w:after="0"/>
        <w:ind w:left="0"/>
        <w:jc w:val="both"/>
      </w:pPr>
      <w:r>
        <w:rPr>
          <w:rFonts w:ascii="Times New Roman"/>
          <w:b w:val="false"/>
          <w:i w:val="false"/>
          <w:color w:val="000000"/>
          <w:sz w:val="28"/>
        </w:rPr>
        <w:t xml:space="preserve">
      77. Площадь участка разгрузки обеспечивает разгрузку контейнеров и их складирование до дальнейшей подачи в место захоронения отходов на период не превышающий двух суток с момента разгрузки. </w:t>
      </w:r>
    </w:p>
    <w:bookmarkEnd w:id="131"/>
    <w:bookmarkStart w:name="z137" w:id="132"/>
    <w:p>
      <w:pPr>
        <w:spacing w:after="0"/>
        <w:ind w:left="0"/>
        <w:jc w:val="both"/>
      </w:pPr>
      <w:r>
        <w:rPr>
          <w:rFonts w:ascii="Times New Roman"/>
          <w:b w:val="false"/>
          <w:i w:val="false"/>
          <w:color w:val="000000"/>
          <w:sz w:val="28"/>
        </w:rPr>
        <w:t xml:space="preserve">
      78. Проектной документацией предусматривается смыв просыпи мышьяксодержащих отходов с поверхностей вспомогательных объектов и сооружений наземной зоны мест подземного захоронения. </w:t>
      </w:r>
    </w:p>
    <w:bookmarkEnd w:id="132"/>
    <w:bookmarkStart w:name="z138" w:id="133"/>
    <w:p>
      <w:pPr>
        <w:spacing w:after="0"/>
        <w:ind w:left="0"/>
        <w:jc w:val="both"/>
      </w:pPr>
      <w:r>
        <w:rPr>
          <w:rFonts w:ascii="Times New Roman"/>
          <w:b w:val="false"/>
          <w:i w:val="false"/>
          <w:color w:val="000000"/>
          <w:sz w:val="28"/>
        </w:rPr>
        <w:t xml:space="preserve">
      79. Удаление загрязненной воды, образовавшейся после смыва, производится в специально оборудованный бетонный приямок. В приямке происходит испарение воды, после чего образовавшийся осадок загружается в специальный герметичный контейнер и вместе с мышьяксодержащими отходами подлежит подземному захоронению. </w:t>
      </w:r>
    </w:p>
    <w:bookmarkEnd w:id="133"/>
    <w:bookmarkStart w:name="z139" w:id="134"/>
    <w:p>
      <w:pPr>
        <w:spacing w:after="0"/>
        <w:ind w:left="0"/>
        <w:jc w:val="left"/>
      </w:pPr>
      <w:r>
        <w:rPr>
          <w:rFonts w:ascii="Times New Roman"/>
          <w:b/>
          <w:i w:val="false"/>
          <w:color w:val="000000"/>
        </w:rPr>
        <w:t xml:space="preserve"> 11. Экологические нормативы и требования к эксплуатации мест</w:t>
      </w:r>
      <w:r>
        <w:br/>
      </w:r>
      <w:r>
        <w:rPr>
          <w:rFonts w:ascii="Times New Roman"/>
          <w:b/>
          <w:i w:val="false"/>
          <w:color w:val="000000"/>
        </w:rPr>
        <w:t>подземного захоронения мышьяксодержащих отходов</w:t>
      </w:r>
    </w:p>
    <w:bookmarkEnd w:id="134"/>
    <w:bookmarkStart w:name="z140" w:id="135"/>
    <w:p>
      <w:pPr>
        <w:spacing w:after="0"/>
        <w:ind w:left="0"/>
        <w:jc w:val="both"/>
      </w:pPr>
      <w:r>
        <w:rPr>
          <w:rFonts w:ascii="Times New Roman"/>
          <w:b w:val="false"/>
          <w:i w:val="false"/>
          <w:color w:val="000000"/>
          <w:sz w:val="28"/>
        </w:rPr>
        <w:t>
      80. Подземные и наземные сооружения, объекты основного и вспомогательного назначения, внутриплощадочные инженерные сети и коммуникации предназначаются для обеспечения надежности и безопасности выполнения технологических операций по подземному захоронению отходов в соответствии с заданными режимами эксплуатации.</w:t>
      </w:r>
    </w:p>
    <w:bookmarkEnd w:id="135"/>
    <w:bookmarkStart w:name="z141" w:id="136"/>
    <w:p>
      <w:pPr>
        <w:spacing w:after="0"/>
        <w:ind w:left="0"/>
        <w:jc w:val="both"/>
      </w:pPr>
      <w:r>
        <w:rPr>
          <w:rFonts w:ascii="Times New Roman"/>
          <w:b w:val="false"/>
          <w:i w:val="false"/>
          <w:color w:val="000000"/>
          <w:sz w:val="28"/>
        </w:rPr>
        <w:t>
      81. Система контроля и доступа к каждому техническому средству содержит программу мер обнаружения и препятствования незаконному проникновению посторонних лиц на территорию мест подземного захоронения мышьяксодержащих отходов.</w:t>
      </w:r>
    </w:p>
    <w:bookmarkEnd w:id="136"/>
    <w:bookmarkStart w:name="z142" w:id="137"/>
    <w:p>
      <w:pPr>
        <w:spacing w:after="0"/>
        <w:ind w:left="0"/>
        <w:jc w:val="both"/>
      </w:pPr>
      <w:r>
        <w:rPr>
          <w:rFonts w:ascii="Times New Roman"/>
          <w:b w:val="false"/>
          <w:i w:val="false"/>
          <w:color w:val="000000"/>
          <w:sz w:val="28"/>
        </w:rPr>
        <w:t>
      82. Участок подземного захоронения отходов по периметру имеет ограждение с устройством автоматической охранной сигнализации.</w:t>
      </w:r>
    </w:p>
    <w:bookmarkEnd w:id="137"/>
    <w:bookmarkStart w:name="z143" w:id="138"/>
    <w:p>
      <w:pPr>
        <w:spacing w:after="0"/>
        <w:ind w:left="0"/>
        <w:jc w:val="both"/>
      </w:pPr>
      <w:r>
        <w:rPr>
          <w:rFonts w:ascii="Times New Roman"/>
          <w:b w:val="false"/>
          <w:i w:val="false"/>
          <w:color w:val="000000"/>
          <w:sz w:val="28"/>
        </w:rPr>
        <w:t>
      83. Территория мест подземного захоронения делится на: подземную зону захоронения отходов, в которой непосредственно производится размещение отходов в специальных герметичных контейнерах и наземную зону для размещения производственных, хозяйственно-бытовых объектов и сооружений, а также на производственную и вспомогательную зоны.</w:t>
      </w:r>
    </w:p>
    <w:bookmarkEnd w:id="138"/>
    <w:bookmarkStart w:name="z144" w:id="139"/>
    <w:p>
      <w:pPr>
        <w:spacing w:after="0"/>
        <w:ind w:left="0"/>
        <w:jc w:val="both"/>
      </w:pPr>
      <w:r>
        <w:rPr>
          <w:rFonts w:ascii="Times New Roman"/>
          <w:b w:val="false"/>
          <w:i w:val="false"/>
          <w:color w:val="000000"/>
          <w:sz w:val="28"/>
        </w:rPr>
        <w:t xml:space="preserve">
      84. Зона захоронения включает в себя горные выработки и шахтные пустоты, которые заполняются герметично упакованными отходами, и устанавливаемыми с определенной периодичностью изолирующими перемычками. </w:t>
      </w:r>
    </w:p>
    <w:bookmarkEnd w:id="139"/>
    <w:bookmarkStart w:name="z145" w:id="140"/>
    <w:p>
      <w:pPr>
        <w:spacing w:after="0"/>
        <w:ind w:left="0"/>
        <w:jc w:val="both"/>
      </w:pPr>
      <w:r>
        <w:rPr>
          <w:rFonts w:ascii="Times New Roman"/>
          <w:b w:val="false"/>
          <w:i w:val="false"/>
          <w:color w:val="000000"/>
          <w:sz w:val="28"/>
        </w:rPr>
        <w:t>
      85. Наземная зона мест подземного захоронения отходов имеет:</w:t>
      </w:r>
    </w:p>
    <w:bookmarkEnd w:id="140"/>
    <w:bookmarkStart w:name="z146" w:id="141"/>
    <w:p>
      <w:pPr>
        <w:spacing w:after="0"/>
        <w:ind w:left="0"/>
        <w:jc w:val="both"/>
      </w:pPr>
      <w:r>
        <w:rPr>
          <w:rFonts w:ascii="Times New Roman"/>
          <w:b w:val="false"/>
          <w:i w:val="false"/>
          <w:color w:val="000000"/>
          <w:sz w:val="28"/>
        </w:rPr>
        <w:t>
      1) автодороги с капитальным покрытием;</w:t>
      </w:r>
    </w:p>
    <w:bookmarkEnd w:id="141"/>
    <w:bookmarkStart w:name="z147" w:id="142"/>
    <w:p>
      <w:pPr>
        <w:spacing w:after="0"/>
        <w:ind w:left="0"/>
        <w:jc w:val="both"/>
      </w:pPr>
      <w:r>
        <w:rPr>
          <w:rFonts w:ascii="Times New Roman"/>
          <w:b w:val="false"/>
          <w:i w:val="false"/>
          <w:color w:val="000000"/>
          <w:sz w:val="28"/>
        </w:rPr>
        <w:t>
      2) узел перегрузки отходов;</w:t>
      </w:r>
    </w:p>
    <w:bookmarkEnd w:id="142"/>
    <w:bookmarkStart w:name="z148" w:id="143"/>
    <w:p>
      <w:pPr>
        <w:spacing w:after="0"/>
        <w:ind w:left="0"/>
        <w:jc w:val="both"/>
      </w:pPr>
      <w:r>
        <w:rPr>
          <w:rFonts w:ascii="Times New Roman"/>
          <w:b w:val="false"/>
          <w:i w:val="false"/>
          <w:color w:val="000000"/>
          <w:sz w:val="28"/>
        </w:rPr>
        <w:t>
      3) участок подготовки мышьяксодержащих отходов;</w:t>
      </w:r>
    </w:p>
    <w:bookmarkEnd w:id="143"/>
    <w:bookmarkStart w:name="z149" w:id="144"/>
    <w:p>
      <w:pPr>
        <w:spacing w:after="0"/>
        <w:ind w:left="0"/>
        <w:jc w:val="both"/>
      </w:pPr>
      <w:r>
        <w:rPr>
          <w:rFonts w:ascii="Times New Roman"/>
          <w:b w:val="false"/>
          <w:i w:val="false"/>
          <w:color w:val="000000"/>
          <w:sz w:val="28"/>
        </w:rPr>
        <w:t>
      4) весовую;</w:t>
      </w:r>
    </w:p>
    <w:bookmarkEnd w:id="144"/>
    <w:bookmarkStart w:name="z150" w:id="145"/>
    <w:p>
      <w:pPr>
        <w:spacing w:after="0"/>
        <w:ind w:left="0"/>
        <w:jc w:val="both"/>
      </w:pPr>
      <w:r>
        <w:rPr>
          <w:rFonts w:ascii="Times New Roman"/>
          <w:b w:val="false"/>
          <w:i w:val="false"/>
          <w:color w:val="000000"/>
          <w:sz w:val="28"/>
        </w:rPr>
        <w:t>
      5) пункт контроля;</w:t>
      </w:r>
    </w:p>
    <w:bookmarkEnd w:id="145"/>
    <w:bookmarkStart w:name="z151" w:id="146"/>
    <w:p>
      <w:pPr>
        <w:spacing w:after="0"/>
        <w:ind w:left="0"/>
        <w:jc w:val="both"/>
      </w:pPr>
      <w:r>
        <w:rPr>
          <w:rFonts w:ascii="Times New Roman"/>
          <w:b w:val="false"/>
          <w:i w:val="false"/>
          <w:color w:val="000000"/>
          <w:sz w:val="28"/>
        </w:rPr>
        <w:t>
      6) сооружения для сбора загрязненных вод;</w:t>
      </w:r>
    </w:p>
    <w:bookmarkEnd w:id="146"/>
    <w:bookmarkStart w:name="z152" w:id="147"/>
    <w:p>
      <w:pPr>
        <w:spacing w:after="0"/>
        <w:ind w:left="0"/>
        <w:jc w:val="both"/>
      </w:pPr>
      <w:r>
        <w:rPr>
          <w:rFonts w:ascii="Times New Roman"/>
          <w:b w:val="false"/>
          <w:i w:val="false"/>
          <w:color w:val="000000"/>
          <w:sz w:val="28"/>
        </w:rPr>
        <w:t>
      7) сооружения для очистки подземных вод, для мест подземного захоронения с искусственным поддержанием уровня наивысшего стояния подземных вод;</w:t>
      </w:r>
    </w:p>
    <w:bookmarkEnd w:id="147"/>
    <w:bookmarkStart w:name="z153" w:id="148"/>
    <w:p>
      <w:pPr>
        <w:spacing w:after="0"/>
        <w:ind w:left="0"/>
        <w:jc w:val="both"/>
      </w:pPr>
      <w:r>
        <w:rPr>
          <w:rFonts w:ascii="Times New Roman"/>
          <w:b w:val="false"/>
          <w:i w:val="false"/>
          <w:color w:val="000000"/>
          <w:sz w:val="28"/>
        </w:rPr>
        <w:t xml:space="preserve">
      8) ливнеотводные лотки вдоль дороги или кюветы. </w:t>
      </w:r>
    </w:p>
    <w:bookmarkEnd w:id="148"/>
    <w:bookmarkStart w:name="z154" w:id="149"/>
    <w:p>
      <w:pPr>
        <w:spacing w:after="0"/>
        <w:ind w:left="0"/>
        <w:jc w:val="both"/>
      </w:pPr>
      <w:r>
        <w:rPr>
          <w:rFonts w:ascii="Times New Roman"/>
          <w:b w:val="false"/>
          <w:i w:val="false"/>
          <w:color w:val="000000"/>
          <w:sz w:val="28"/>
        </w:rPr>
        <w:t>
      86. Места подземного захоронения мышьяксодержащих отходов оборудуются с учетом ограничения выноса загрязнений на дороги и близлежащую территорию от участка непосредственного ведения работ по захоронению.</w:t>
      </w:r>
    </w:p>
    <w:bookmarkEnd w:id="149"/>
    <w:bookmarkStart w:name="z155" w:id="150"/>
    <w:p>
      <w:pPr>
        <w:spacing w:after="0"/>
        <w:ind w:left="0"/>
        <w:jc w:val="both"/>
      </w:pPr>
      <w:r>
        <w:rPr>
          <w:rFonts w:ascii="Times New Roman"/>
          <w:b w:val="false"/>
          <w:i w:val="false"/>
          <w:color w:val="000000"/>
          <w:sz w:val="28"/>
        </w:rPr>
        <w:t xml:space="preserve">
      87. На участке расположения места подземного захоронения попадание поверхностного стока с прилегающих к нему водосборных площадей, выпадения атмосферных осадков в сооружения для захоронения отходов исключается. </w:t>
      </w:r>
    </w:p>
    <w:bookmarkEnd w:id="150"/>
    <w:bookmarkStart w:name="z156" w:id="151"/>
    <w:p>
      <w:pPr>
        <w:spacing w:after="0"/>
        <w:ind w:left="0"/>
        <w:jc w:val="both"/>
      </w:pPr>
      <w:r>
        <w:rPr>
          <w:rFonts w:ascii="Times New Roman"/>
          <w:b w:val="false"/>
          <w:i w:val="false"/>
          <w:color w:val="000000"/>
          <w:sz w:val="28"/>
        </w:rPr>
        <w:t xml:space="preserve">
      88. При возникновении неблагоприятных гидрогеологических условий на местах подземного захоронения, в результате которых возможно проникновение подземных вод непосредственно в зону захоронения отходов, проводится очистка вод от специфических компонентов (в соответствии с составом отхода), а также усиливается контроль за состоянием подземных и грунтовых вод. </w:t>
      </w:r>
    </w:p>
    <w:bookmarkEnd w:id="151"/>
    <w:bookmarkStart w:name="z157" w:id="152"/>
    <w:p>
      <w:pPr>
        <w:spacing w:after="0"/>
        <w:ind w:left="0"/>
        <w:jc w:val="both"/>
      </w:pPr>
      <w:r>
        <w:rPr>
          <w:rFonts w:ascii="Times New Roman"/>
          <w:b w:val="false"/>
          <w:i w:val="false"/>
          <w:color w:val="000000"/>
          <w:sz w:val="28"/>
        </w:rPr>
        <w:t>
      89. Управление местами подземного захоронения мышьяксодержащих отходов осуществляется природопользователями, имеющими технические средства для эксплуатации мест подземного захоронения и обеспечивающими профессиональную и техническую подготовку работников мест подземного захоронения.</w:t>
      </w:r>
    </w:p>
    <w:bookmarkEnd w:id="152"/>
    <w:bookmarkStart w:name="z158" w:id="153"/>
    <w:p>
      <w:pPr>
        <w:spacing w:after="0"/>
        <w:ind w:left="0"/>
        <w:jc w:val="both"/>
      </w:pPr>
      <w:r>
        <w:rPr>
          <w:rFonts w:ascii="Times New Roman"/>
          <w:b w:val="false"/>
          <w:i w:val="false"/>
          <w:color w:val="000000"/>
          <w:sz w:val="28"/>
        </w:rPr>
        <w:t>
      90. Персонал, задействованный на местах подземного захоронения, обеспечивается специальной одеждой и специальной обувью (в зависимости от сезона года), средствами индивидуальной защиты. Специальная одежда персонала, работающего на местах подземного захоронения отходов, подлежит стирке в отдельном помещении.</w:t>
      </w:r>
    </w:p>
    <w:bookmarkEnd w:id="153"/>
    <w:bookmarkStart w:name="z159" w:id="154"/>
    <w:p>
      <w:pPr>
        <w:spacing w:after="0"/>
        <w:ind w:left="0"/>
        <w:jc w:val="both"/>
      </w:pPr>
      <w:r>
        <w:rPr>
          <w:rFonts w:ascii="Times New Roman"/>
          <w:b w:val="false"/>
          <w:i w:val="false"/>
          <w:color w:val="000000"/>
          <w:sz w:val="28"/>
        </w:rPr>
        <w:t>
      91. Персонал, занятый работами по захоронению отходов, эксплуатацией соответствующих объектов и сооружений, проходит предварительные и периодические медицинские осмотры при поступлении на работу.</w:t>
      </w:r>
    </w:p>
    <w:bookmarkEnd w:id="154"/>
    <w:bookmarkStart w:name="z160" w:id="155"/>
    <w:p>
      <w:pPr>
        <w:spacing w:after="0"/>
        <w:ind w:left="0"/>
        <w:jc w:val="both"/>
      </w:pPr>
      <w:r>
        <w:rPr>
          <w:rFonts w:ascii="Times New Roman"/>
          <w:b w:val="false"/>
          <w:i w:val="false"/>
          <w:color w:val="000000"/>
          <w:sz w:val="28"/>
        </w:rPr>
        <w:t xml:space="preserve">
      При этом, природопользователь обеспечивает проведение медицинских осмотров персонала. </w:t>
      </w:r>
    </w:p>
    <w:bookmarkEnd w:id="155"/>
    <w:bookmarkStart w:name="z161" w:id="156"/>
    <w:p>
      <w:pPr>
        <w:spacing w:after="0"/>
        <w:ind w:left="0"/>
        <w:jc w:val="both"/>
      </w:pPr>
      <w:r>
        <w:rPr>
          <w:rFonts w:ascii="Times New Roman"/>
          <w:b w:val="false"/>
          <w:i w:val="false"/>
          <w:color w:val="000000"/>
          <w:sz w:val="28"/>
        </w:rPr>
        <w:t>
      92. На местах подземного захоронения мышьяксодержащих отходов соблюдаются следующие условия личной гигиены:</w:t>
      </w:r>
    </w:p>
    <w:bookmarkEnd w:id="156"/>
    <w:bookmarkStart w:name="z162" w:id="157"/>
    <w:p>
      <w:pPr>
        <w:spacing w:after="0"/>
        <w:ind w:left="0"/>
        <w:jc w:val="both"/>
      </w:pPr>
      <w:r>
        <w:rPr>
          <w:rFonts w:ascii="Times New Roman"/>
          <w:b w:val="false"/>
          <w:i w:val="false"/>
          <w:color w:val="000000"/>
          <w:sz w:val="28"/>
        </w:rPr>
        <w:t>
      1) работа осуществляется в специальной одежде и с применением средств индивидуальной защиты;</w:t>
      </w:r>
    </w:p>
    <w:bookmarkEnd w:id="157"/>
    <w:bookmarkStart w:name="z163" w:id="158"/>
    <w:p>
      <w:pPr>
        <w:spacing w:after="0"/>
        <w:ind w:left="0"/>
        <w:jc w:val="both"/>
      </w:pPr>
      <w:r>
        <w:rPr>
          <w:rFonts w:ascii="Times New Roman"/>
          <w:b w:val="false"/>
          <w:i w:val="false"/>
          <w:color w:val="000000"/>
          <w:sz w:val="28"/>
        </w:rPr>
        <w:t>
      2) курение и прием пищи на рабочем месте не осуществляется.</w:t>
      </w:r>
    </w:p>
    <w:bookmarkEnd w:id="158"/>
    <w:bookmarkStart w:name="z164" w:id="159"/>
    <w:p>
      <w:pPr>
        <w:spacing w:after="0"/>
        <w:ind w:left="0"/>
        <w:jc w:val="both"/>
      </w:pPr>
      <w:r>
        <w:rPr>
          <w:rFonts w:ascii="Times New Roman"/>
          <w:b w:val="false"/>
          <w:i w:val="false"/>
          <w:color w:val="000000"/>
          <w:sz w:val="28"/>
        </w:rPr>
        <w:t xml:space="preserve">
      93. Места подземного захоронения и подъездные пути оснащаются искусственным освещением. </w:t>
      </w:r>
    </w:p>
    <w:bookmarkEnd w:id="159"/>
    <w:bookmarkStart w:name="z165" w:id="160"/>
    <w:p>
      <w:pPr>
        <w:spacing w:after="0"/>
        <w:ind w:left="0"/>
        <w:jc w:val="both"/>
      </w:pPr>
      <w:r>
        <w:rPr>
          <w:rFonts w:ascii="Times New Roman"/>
          <w:b w:val="false"/>
          <w:i w:val="false"/>
          <w:color w:val="000000"/>
          <w:sz w:val="28"/>
        </w:rPr>
        <w:t>
      94. Объекты мест подземного захоронения оснащаются телефонной связью между собой.</w:t>
      </w:r>
    </w:p>
    <w:bookmarkEnd w:id="160"/>
    <w:bookmarkStart w:name="z166" w:id="161"/>
    <w:p>
      <w:pPr>
        <w:spacing w:after="0"/>
        <w:ind w:left="0"/>
        <w:jc w:val="both"/>
      </w:pPr>
      <w:r>
        <w:rPr>
          <w:rFonts w:ascii="Times New Roman"/>
          <w:b w:val="false"/>
          <w:i w:val="false"/>
          <w:color w:val="000000"/>
          <w:sz w:val="28"/>
        </w:rPr>
        <w:t xml:space="preserve">
      95. В местах подземного захоронения отходов предусматривается противопожарная защита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Постановлением Правительства Республики Казахстан от 9 октября 2014 года № 1077.</w:t>
      </w:r>
    </w:p>
    <w:bookmarkEnd w:id="161"/>
    <w:bookmarkStart w:name="z169" w:id="162"/>
    <w:p>
      <w:pPr>
        <w:spacing w:after="0"/>
        <w:ind w:left="0"/>
        <w:jc w:val="left"/>
      </w:pPr>
      <w:r>
        <w:rPr>
          <w:rFonts w:ascii="Times New Roman"/>
          <w:b/>
          <w:i w:val="false"/>
          <w:color w:val="000000"/>
        </w:rPr>
        <w:t xml:space="preserve"> 12. Учет и отчетность</w:t>
      </w:r>
    </w:p>
    <w:bookmarkEnd w:id="162"/>
    <w:bookmarkStart w:name="z170" w:id="163"/>
    <w:p>
      <w:pPr>
        <w:spacing w:after="0"/>
        <w:ind w:left="0"/>
        <w:jc w:val="both"/>
      </w:pPr>
      <w:r>
        <w:rPr>
          <w:rFonts w:ascii="Times New Roman"/>
          <w:b w:val="false"/>
          <w:i w:val="false"/>
          <w:color w:val="000000"/>
          <w:sz w:val="28"/>
        </w:rPr>
        <w:t>
      96. Природопользователь, осуществляющий подземное захоронение мышьяксодержащих отходов, ведет их учет (вид, количество и происхождение), а также собирает и хранит информацию об опасных для окружающей среды и (или) здоровья человека свойствах отходов.</w:t>
      </w:r>
    </w:p>
    <w:bookmarkEnd w:id="163"/>
    <w:bookmarkStart w:name="z171" w:id="164"/>
    <w:p>
      <w:pPr>
        <w:spacing w:after="0"/>
        <w:ind w:left="0"/>
        <w:jc w:val="both"/>
      </w:pPr>
      <w:r>
        <w:rPr>
          <w:rFonts w:ascii="Times New Roman"/>
          <w:b w:val="false"/>
          <w:i w:val="false"/>
          <w:color w:val="000000"/>
          <w:sz w:val="28"/>
        </w:rPr>
        <w:t xml:space="preserve">
      97. Собственник, осуществляющий подземное захоронение мышьяксодержащих отходов, представляет уполномоченному органу в области охраны окружающей среды сведения о своей деятельности в области обращения с отходами для внесения их в Государственный кадастр отходов согласно части первой  </w:t>
      </w:r>
      <w:r>
        <w:rPr>
          <w:rFonts w:ascii="Times New Roman"/>
          <w:b w:val="false"/>
          <w:i w:val="false"/>
          <w:color w:val="000000"/>
          <w:sz w:val="28"/>
        </w:rPr>
        <w:t>статьи 158</w:t>
      </w:r>
      <w:r>
        <w:rPr>
          <w:rFonts w:ascii="Times New Roman"/>
          <w:b w:val="false"/>
          <w:i w:val="false"/>
          <w:color w:val="000000"/>
          <w:sz w:val="28"/>
        </w:rPr>
        <w:t xml:space="preserve"> Кодекса.</w:t>
      </w:r>
    </w:p>
    <w:bookmarkEnd w:id="164"/>
    <w:bookmarkStart w:name="z174" w:id="165"/>
    <w:p>
      <w:pPr>
        <w:spacing w:after="0"/>
        <w:ind w:left="0"/>
        <w:jc w:val="both"/>
      </w:pPr>
      <w:r>
        <w:rPr>
          <w:rFonts w:ascii="Times New Roman"/>
          <w:b w:val="false"/>
          <w:i w:val="false"/>
          <w:color w:val="000000"/>
          <w:sz w:val="28"/>
        </w:rPr>
        <w:t>
      98. Собственники отходов, сдающие отходы для подземного захоронения, предоставляют природопользователю, осуществляющему подземное захоронение мышьяксодержащих отходов, достоверную информацию об их качественных и количественных характеристиках, подтверждающую отнесение отходов к определенному виду, и сопровождаемую для опасных отходов копией паспорта опасных отходов.</w:t>
      </w:r>
    </w:p>
    <w:bookmarkEnd w:id="165"/>
    <w:bookmarkStart w:name="z175" w:id="166"/>
    <w:p>
      <w:pPr>
        <w:spacing w:after="0"/>
        <w:ind w:left="0"/>
        <w:jc w:val="both"/>
      </w:pPr>
      <w:r>
        <w:rPr>
          <w:rFonts w:ascii="Times New Roman"/>
          <w:b w:val="false"/>
          <w:i w:val="false"/>
          <w:color w:val="000000"/>
          <w:sz w:val="28"/>
        </w:rPr>
        <w:t>
      99. Природопользователь, осуществляющий подземное захоронение отходов, выполняет следующие процедуры приема отходов:</w:t>
      </w:r>
    </w:p>
    <w:bookmarkEnd w:id="166"/>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p>
      <w:pPr>
        <w:spacing w:after="0"/>
        <w:ind w:left="0"/>
        <w:jc w:val="both"/>
      </w:pPr>
      <w:r>
        <w:rPr>
          <w:rFonts w:ascii="Times New Roman"/>
          <w:b w:val="false"/>
          <w:i w:val="false"/>
          <w:color w:val="000000"/>
          <w:sz w:val="28"/>
        </w:rPr>
        <w:t>
      2) визуальный осмотр отходов на входе и на месте подземного захоронения;</w:t>
      </w:r>
    </w:p>
    <w:p>
      <w:pPr>
        <w:spacing w:after="0"/>
        <w:ind w:left="0"/>
        <w:jc w:val="both"/>
      </w:pPr>
      <w:r>
        <w:rPr>
          <w:rFonts w:ascii="Times New Roman"/>
          <w:b w:val="false"/>
          <w:i w:val="false"/>
          <w:color w:val="000000"/>
          <w:sz w:val="28"/>
        </w:rPr>
        <w:t>
      3) сверку содержимого специальных герметичных контейнеров с описанием в документации данных о предоставляемом отходе для захоронения;</w:t>
      </w:r>
    </w:p>
    <w:p>
      <w:pPr>
        <w:spacing w:after="0"/>
        <w:ind w:left="0"/>
        <w:jc w:val="both"/>
      </w:pPr>
      <w:r>
        <w:rPr>
          <w:rFonts w:ascii="Times New Roman"/>
          <w:b w:val="false"/>
          <w:i w:val="false"/>
          <w:color w:val="000000"/>
          <w:sz w:val="28"/>
        </w:rPr>
        <w:t xml:space="preserve">
      4) ведение учета количества и характеристик отходов, подлежащих подземному захоронению. </w:t>
      </w:r>
    </w:p>
    <w:bookmarkStart w:name="z176" w:id="167"/>
    <w:p>
      <w:pPr>
        <w:spacing w:after="0"/>
        <w:ind w:left="0"/>
        <w:jc w:val="both"/>
      </w:pPr>
      <w:r>
        <w:rPr>
          <w:rFonts w:ascii="Times New Roman"/>
          <w:b w:val="false"/>
          <w:i w:val="false"/>
          <w:color w:val="000000"/>
          <w:sz w:val="28"/>
        </w:rPr>
        <w:t>
      100. Природопользователь, осуществляющий подземное захоронение отходов, на постоянной основе обеспечивает письменное подтверждение получения каждой партии отходов в прошитом и пронумерованном Журнале и обеспечивать хранение данной документации в течение пяти лет.</w:t>
      </w:r>
    </w:p>
    <w:bookmarkEnd w:id="167"/>
    <w:bookmarkStart w:name="z177" w:id="168"/>
    <w:p>
      <w:pPr>
        <w:spacing w:after="0"/>
        <w:ind w:left="0"/>
        <w:jc w:val="left"/>
      </w:pPr>
      <w:r>
        <w:rPr>
          <w:rFonts w:ascii="Times New Roman"/>
          <w:b/>
          <w:i w:val="false"/>
          <w:color w:val="000000"/>
        </w:rPr>
        <w:t xml:space="preserve"> 13. Производственный мониторинг мест подземного захоронения</w:t>
      </w:r>
      <w:r>
        <w:br/>
      </w:r>
      <w:r>
        <w:rPr>
          <w:rFonts w:ascii="Times New Roman"/>
          <w:b/>
          <w:i w:val="false"/>
          <w:color w:val="000000"/>
        </w:rPr>
        <w:t>мышьяксодержащих отходов</w:t>
      </w:r>
    </w:p>
    <w:bookmarkEnd w:id="168"/>
    <w:bookmarkStart w:name="z178" w:id="169"/>
    <w:p>
      <w:pPr>
        <w:spacing w:after="0"/>
        <w:ind w:left="0"/>
        <w:jc w:val="both"/>
      </w:pPr>
      <w:r>
        <w:rPr>
          <w:rFonts w:ascii="Times New Roman"/>
          <w:b w:val="false"/>
          <w:i w:val="false"/>
          <w:color w:val="000000"/>
          <w:sz w:val="28"/>
        </w:rPr>
        <w:t>
      101. Каждое место подземного захоронения мышьяксодержащих отходов оборудуется системой производственного мониторинга для предупреждения негативного воздействия на окружающую среду.</w:t>
      </w:r>
    </w:p>
    <w:bookmarkEnd w:id="169"/>
    <w:bookmarkStart w:name="z179" w:id="170"/>
    <w:p>
      <w:pPr>
        <w:spacing w:after="0"/>
        <w:ind w:left="0"/>
        <w:jc w:val="both"/>
      </w:pPr>
      <w:r>
        <w:rPr>
          <w:rFonts w:ascii="Times New Roman"/>
          <w:b w:val="false"/>
          <w:i w:val="false"/>
          <w:color w:val="000000"/>
          <w:sz w:val="28"/>
        </w:rPr>
        <w:t xml:space="preserve">
      102. При проведении оценки воздействия на окружающую среду проектируемых мест подземного захоронения определяется характеристика природной среды в районе намечаемой деятельности (в качестве первоначального фонового состояния), учитываются существующие виды воздействия на рассматриваемой территории. </w:t>
      </w:r>
    </w:p>
    <w:bookmarkEnd w:id="170"/>
    <w:bookmarkStart w:name="z180" w:id="171"/>
    <w:p>
      <w:pPr>
        <w:spacing w:after="0"/>
        <w:ind w:left="0"/>
        <w:jc w:val="both"/>
      </w:pPr>
      <w:r>
        <w:rPr>
          <w:rFonts w:ascii="Times New Roman"/>
          <w:b w:val="false"/>
          <w:i w:val="false"/>
          <w:color w:val="000000"/>
          <w:sz w:val="28"/>
        </w:rPr>
        <w:t>
      103. В процессе выбора параметров для аналитического учета определяются скорость и направление потока подземных вод. Параметры включают индикативные показатели, для гарантирования раннее выявленных изменений в качестве воды.</w:t>
      </w:r>
    </w:p>
    <w:bookmarkEnd w:id="171"/>
    <w:bookmarkStart w:name="z181" w:id="172"/>
    <w:p>
      <w:pPr>
        <w:spacing w:after="0"/>
        <w:ind w:left="0"/>
        <w:jc w:val="both"/>
      </w:pPr>
      <w:r>
        <w:rPr>
          <w:rFonts w:ascii="Times New Roman"/>
          <w:b w:val="false"/>
          <w:i w:val="false"/>
          <w:color w:val="000000"/>
          <w:sz w:val="28"/>
        </w:rPr>
        <w:t>
      104. Программой производственного мониторинга предусматривается выполнение натурных наблюдений за состоянием тех компонентов окружающей среды, которые могут испытывать техногенное влияние вследствие проводимых работ по подземному захоронению мышьяксодержащих отходов. Основными из этих компонентов являются: атмосферный воздух, почва, поверхностные, подземные, шахтные и грунтовые воды в зоне влияния подземного захоронения отходов.</w:t>
      </w:r>
    </w:p>
    <w:bookmarkEnd w:id="172"/>
    <w:bookmarkStart w:name="z182" w:id="173"/>
    <w:p>
      <w:pPr>
        <w:spacing w:after="0"/>
        <w:ind w:left="0"/>
        <w:jc w:val="both"/>
      </w:pPr>
      <w:r>
        <w:rPr>
          <w:rFonts w:ascii="Times New Roman"/>
          <w:b w:val="false"/>
          <w:i w:val="false"/>
          <w:color w:val="000000"/>
          <w:sz w:val="28"/>
        </w:rPr>
        <w:t>
      105. При составлении программ предусматриваются наблюдения за режимами (уровнями) и химическим изменением поверхностных и грунтовых вод с учетом специфических компонентов захораниваемого отхода, а также за качеством атмосферного воздуха с целью своевременного выявления опасных тенденций в их состоянии и оперативного принятия мер по ликвидации опасного загрязнения.</w:t>
      </w:r>
    </w:p>
    <w:bookmarkEnd w:id="173"/>
    <w:bookmarkStart w:name="z183" w:id="174"/>
    <w:p>
      <w:pPr>
        <w:spacing w:after="0"/>
        <w:ind w:left="0"/>
        <w:jc w:val="both"/>
      </w:pPr>
      <w:r>
        <w:rPr>
          <w:rFonts w:ascii="Times New Roman"/>
          <w:b w:val="false"/>
          <w:i w:val="false"/>
          <w:color w:val="000000"/>
          <w:sz w:val="28"/>
        </w:rPr>
        <w:t>
      106. 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законодательством Республики Казахстан о техническом регулировании согласно части девятой статьи 132 Кодекса.</w:t>
      </w:r>
    </w:p>
    <w:bookmarkEnd w:id="174"/>
    <w:bookmarkStart w:name="z184" w:id="175"/>
    <w:p>
      <w:pPr>
        <w:spacing w:after="0"/>
        <w:ind w:left="0"/>
        <w:jc w:val="both"/>
      </w:pPr>
      <w:r>
        <w:rPr>
          <w:rFonts w:ascii="Times New Roman"/>
          <w:b w:val="false"/>
          <w:i w:val="false"/>
          <w:color w:val="000000"/>
          <w:sz w:val="28"/>
        </w:rPr>
        <w:t>
      107. Площадь, охватываемая наблюдательной сетью, обеспечивает достаточность для уверенного определения степени влияния мест подземного захоронения и границ техногенного загрязнения.</w:t>
      </w:r>
    </w:p>
    <w:bookmarkEnd w:id="175"/>
    <w:bookmarkStart w:name="z185" w:id="176"/>
    <w:p>
      <w:pPr>
        <w:spacing w:after="0"/>
        <w:ind w:left="0"/>
        <w:jc w:val="both"/>
      </w:pPr>
      <w:r>
        <w:rPr>
          <w:rFonts w:ascii="Times New Roman"/>
          <w:b w:val="false"/>
          <w:i w:val="false"/>
          <w:color w:val="000000"/>
          <w:sz w:val="28"/>
        </w:rPr>
        <w:t>
      108. Число точек наблюдения за состоянием охраны окружающей среды, периодичность и продолжительность наблюдений зависят от сложности поставленной задачи, требуемой точности определения, вида и класса опасности загрязнений и обосновываются при составлении программ экологического контроля.</w:t>
      </w:r>
    </w:p>
    <w:bookmarkEnd w:id="176"/>
    <w:bookmarkStart w:name="z186" w:id="177"/>
    <w:p>
      <w:pPr>
        <w:spacing w:after="0"/>
        <w:ind w:left="0"/>
        <w:jc w:val="both"/>
      </w:pPr>
      <w:r>
        <w:rPr>
          <w:rFonts w:ascii="Times New Roman"/>
          <w:b w:val="false"/>
          <w:i w:val="false"/>
          <w:color w:val="000000"/>
          <w:sz w:val="28"/>
        </w:rPr>
        <w:t xml:space="preserve">
      109. Для обеспечения контроля высоты стояния подземных и грунтовых вод, их физико-химического состава на местах подземного захоронения мышьяксодержащих отходов и в его санитарно-защитной зоне предусматриваются створы наблюдательных скважин, в каждом створе не менее двух скважин. </w:t>
      </w:r>
    </w:p>
    <w:bookmarkEnd w:id="177"/>
    <w:p>
      <w:pPr>
        <w:spacing w:after="0"/>
        <w:ind w:left="0"/>
        <w:jc w:val="both"/>
      </w:pPr>
      <w:r>
        <w:rPr>
          <w:rFonts w:ascii="Times New Roman"/>
          <w:b w:val="false"/>
          <w:i w:val="false"/>
          <w:color w:val="000000"/>
          <w:sz w:val="28"/>
        </w:rPr>
        <w:t xml:space="preserve">
      При уклоне грунтового потока менее 0,1 % створы предусматриваются по всем четырем направлениям. При уклоне более 0,1 % контрольные скважины размещаются по трем направлениям, исключая направление вверх по течению. </w:t>
      </w:r>
    </w:p>
    <w:p>
      <w:pPr>
        <w:spacing w:after="0"/>
        <w:ind w:left="0"/>
        <w:jc w:val="both"/>
      </w:pPr>
      <w:r>
        <w:rPr>
          <w:rFonts w:ascii="Times New Roman"/>
          <w:b w:val="false"/>
          <w:i w:val="false"/>
          <w:color w:val="000000"/>
          <w:sz w:val="28"/>
        </w:rPr>
        <w:t>
      При длине сторон участка захоронения не более 200 метров на каждую сторону предусматривается по одному контрольному створу.</w:t>
      </w:r>
    </w:p>
    <w:p>
      <w:pPr>
        <w:spacing w:after="0"/>
        <w:ind w:left="0"/>
        <w:jc w:val="both"/>
      </w:pPr>
      <w:r>
        <w:rPr>
          <w:rFonts w:ascii="Times New Roman"/>
          <w:b w:val="false"/>
          <w:i w:val="false"/>
          <w:color w:val="000000"/>
          <w:sz w:val="28"/>
        </w:rPr>
        <w:t xml:space="preserve">
      При большей длине сторон участка створы размещаются через 100 - 150 метров. </w:t>
      </w:r>
    </w:p>
    <w:p>
      <w:pPr>
        <w:spacing w:after="0"/>
        <w:ind w:left="0"/>
        <w:jc w:val="both"/>
      </w:pPr>
      <w:r>
        <w:rPr>
          <w:rFonts w:ascii="Times New Roman"/>
          <w:b w:val="false"/>
          <w:i w:val="false"/>
          <w:color w:val="000000"/>
          <w:sz w:val="28"/>
        </w:rPr>
        <w:t>
      Расстояние между наблюдательными скважинами в створе принимается в пределах 50 – 100 метров. Одна скважина створа размещается на территории участка захоронения, другая - в санитарно-защитной зоне.</w:t>
      </w:r>
    </w:p>
    <w:p>
      <w:pPr>
        <w:spacing w:after="0"/>
        <w:ind w:left="0"/>
        <w:jc w:val="both"/>
      </w:pPr>
      <w:r>
        <w:rPr>
          <w:rFonts w:ascii="Times New Roman"/>
          <w:b w:val="false"/>
          <w:i w:val="false"/>
          <w:color w:val="000000"/>
          <w:sz w:val="28"/>
        </w:rPr>
        <w:t xml:space="preserve">
      Приведенные расстояния уменьшаются с учетом конкретных гидрогеологических условий. Скважины заглубляются ниже уровня грунтовых вод не менее чем на 5 метров. </w:t>
      </w:r>
    </w:p>
    <w:p>
      <w:pPr>
        <w:spacing w:after="0"/>
        <w:ind w:left="0"/>
        <w:jc w:val="both"/>
      </w:pPr>
      <w:r>
        <w:rPr>
          <w:rFonts w:ascii="Times New Roman"/>
          <w:b w:val="false"/>
          <w:i w:val="false"/>
          <w:color w:val="000000"/>
          <w:sz w:val="28"/>
        </w:rPr>
        <w:t>
      Аналогичный контроль предусматривается для испарителей загрязненных дождевых и дренажных вод, размещаемых вне участка захоронения мышьяксодержащих отходов.</w:t>
      </w:r>
    </w:p>
    <w:bookmarkStart w:name="z187" w:id="178"/>
    <w:p>
      <w:pPr>
        <w:spacing w:after="0"/>
        <w:ind w:left="0"/>
        <w:jc w:val="both"/>
      </w:pPr>
      <w:r>
        <w:rPr>
          <w:rFonts w:ascii="Times New Roman"/>
          <w:b w:val="false"/>
          <w:i w:val="false"/>
          <w:color w:val="000000"/>
          <w:sz w:val="28"/>
        </w:rPr>
        <w:t xml:space="preserve">
      110. Контроль за состоянием мест подземного захоронения мышьяксодержащих отходов осуществляется путем анализа из наблюдательных скважин, расположенных до мест подземного захоронения (в качестве фона) и после мест подземного захоронения отходов. </w:t>
      </w:r>
    </w:p>
    <w:bookmarkEnd w:id="178"/>
    <w:bookmarkStart w:name="z188" w:id="179"/>
    <w:p>
      <w:pPr>
        <w:spacing w:after="0"/>
        <w:ind w:left="0"/>
        <w:jc w:val="both"/>
      </w:pPr>
      <w:r>
        <w:rPr>
          <w:rFonts w:ascii="Times New Roman"/>
          <w:b w:val="false"/>
          <w:i w:val="false"/>
          <w:color w:val="000000"/>
          <w:sz w:val="28"/>
        </w:rPr>
        <w:t xml:space="preserve">
      111. Природопользователь ежеквартально представляет в уполномоченный орган в области охраны окружающей среды отчет по результатам производственного экологического контроля согласно Требованиям к отчетности по результатам производственного экологического контроля,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14 февраля 2013 года № 16-Ө (зарегистрированный в Реестре государственной регистрации нормативных правовых актов № 8376).</w:t>
      </w:r>
    </w:p>
    <w:bookmarkEnd w:id="179"/>
    <w:bookmarkStart w:name="z191" w:id="180"/>
    <w:p>
      <w:pPr>
        <w:spacing w:after="0"/>
        <w:ind w:left="0"/>
        <w:jc w:val="both"/>
      </w:pPr>
      <w:r>
        <w:rPr>
          <w:rFonts w:ascii="Times New Roman"/>
          <w:b w:val="false"/>
          <w:i w:val="false"/>
          <w:color w:val="000000"/>
          <w:sz w:val="28"/>
        </w:rPr>
        <w:t xml:space="preserve">
      112. Природопользователь, осуществляющий подземное захоронение отходов, информирует уполномоченный орган в области охраны окружающей среды об авариях с выбросом и сбросом загрязняющих веществ в окружающую среду в течение двух часов с момента их обнаружения согласно части десятой  </w:t>
      </w:r>
      <w:r>
        <w:rPr>
          <w:rFonts w:ascii="Times New Roman"/>
          <w:b w:val="false"/>
          <w:i w:val="false"/>
          <w:color w:val="000000"/>
          <w:sz w:val="28"/>
        </w:rPr>
        <w:t>статьи 199</w:t>
      </w:r>
      <w:r>
        <w:rPr>
          <w:rFonts w:ascii="Times New Roman"/>
          <w:b w:val="false"/>
          <w:i w:val="false"/>
          <w:color w:val="000000"/>
          <w:sz w:val="28"/>
        </w:rPr>
        <w:t xml:space="preserve"> Кодекса.</w:t>
      </w:r>
    </w:p>
    <w:bookmarkEnd w:id="180"/>
    <w:bookmarkStart w:name="z194" w:id="181"/>
    <w:p>
      <w:pPr>
        <w:spacing w:after="0"/>
        <w:ind w:left="0"/>
        <w:jc w:val="both"/>
      </w:pPr>
      <w:r>
        <w:rPr>
          <w:rFonts w:ascii="Times New Roman"/>
          <w:b w:val="false"/>
          <w:i w:val="false"/>
          <w:color w:val="000000"/>
          <w:sz w:val="28"/>
        </w:rPr>
        <w:t>
      113. При обнаружении превышений предельно-допустимых концентраций в ходе ведения мониторинговых исследований, природопользователем принимаются соответствующие меры по достижению допустимых уровней.</w:t>
      </w:r>
    </w:p>
    <w:bookmarkEnd w:id="181"/>
    <w:bookmarkStart w:name="z195" w:id="182"/>
    <w:p>
      <w:pPr>
        <w:spacing w:after="0"/>
        <w:ind w:left="0"/>
        <w:jc w:val="both"/>
      </w:pPr>
      <w:r>
        <w:rPr>
          <w:rFonts w:ascii="Times New Roman"/>
          <w:b w:val="false"/>
          <w:i w:val="false"/>
          <w:color w:val="000000"/>
          <w:sz w:val="28"/>
        </w:rPr>
        <w:t>
      114. Природопользователь утверждает план действий по устранению или локализации аварийной ситуации, возникшей в результате нарушения экологического законодательства Республики Казахстан, стихийных бедствий и природных катаклизмов.</w:t>
      </w:r>
    </w:p>
    <w:bookmarkEnd w:id="182"/>
    <w:bookmarkStart w:name="z196" w:id="183"/>
    <w:p>
      <w:pPr>
        <w:spacing w:after="0"/>
        <w:ind w:left="0"/>
        <w:jc w:val="left"/>
      </w:pPr>
      <w:r>
        <w:rPr>
          <w:rFonts w:ascii="Times New Roman"/>
          <w:b/>
          <w:i w:val="false"/>
          <w:color w:val="000000"/>
        </w:rPr>
        <w:t xml:space="preserve"> 14. Экологические нормативы и требования к закрытию мест</w:t>
      </w:r>
      <w:r>
        <w:br/>
      </w:r>
      <w:r>
        <w:rPr>
          <w:rFonts w:ascii="Times New Roman"/>
          <w:b/>
          <w:i w:val="false"/>
          <w:color w:val="000000"/>
        </w:rPr>
        <w:t>подземного захоронения мышьяксодержащих отходов</w:t>
      </w:r>
    </w:p>
    <w:bookmarkEnd w:id="183"/>
    <w:bookmarkStart w:name="z197" w:id="184"/>
    <w:p>
      <w:pPr>
        <w:spacing w:after="0"/>
        <w:ind w:left="0"/>
        <w:jc w:val="both"/>
      </w:pPr>
      <w:r>
        <w:rPr>
          <w:rFonts w:ascii="Times New Roman"/>
          <w:b w:val="false"/>
          <w:i w:val="false"/>
          <w:color w:val="000000"/>
          <w:sz w:val="28"/>
        </w:rPr>
        <w:t>
      115. Закрытие мест подземного захоронения мышьякосодержащих отходов в сухих незатапливаемых горных выработках, пустотах рудников производится после прохождения государственной экологической экспертизы и согласования с уполномоченным органом в области охраны окружающей среды согласно проекту ликвидации мест подземного захоронения.</w:t>
      </w:r>
    </w:p>
    <w:bookmarkEnd w:id="184"/>
    <w:bookmarkStart w:name="z198" w:id="185"/>
    <w:p>
      <w:pPr>
        <w:spacing w:after="0"/>
        <w:ind w:left="0"/>
        <w:jc w:val="both"/>
      </w:pPr>
      <w:r>
        <w:rPr>
          <w:rFonts w:ascii="Times New Roman"/>
          <w:b w:val="false"/>
          <w:i w:val="false"/>
          <w:color w:val="000000"/>
          <w:sz w:val="28"/>
        </w:rPr>
        <w:t>
      116. После завершения эксплуатации мест подземного захоронения мышьяксодержащих отходов принимаются мероприятия по минимизации последствий функционирования участка и исключения доступа посторонних лиц: устья горных выработок перекрываются бетонными перемычками, ограждение вокруг которых сохраняется.</w:t>
      </w:r>
    </w:p>
    <w:bookmarkEnd w:id="185"/>
    <w:bookmarkStart w:name="z199" w:id="186"/>
    <w:p>
      <w:pPr>
        <w:spacing w:after="0"/>
        <w:ind w:left="0"/>
        <w:jc w:val="both"/>
      </w:pPr>
      <w:r>
        <w:rPr>
          <w:rFonts w:ascii="Times New Roman"/>
          <w:b w:val="false"/>
          <w:i w:val="false"/>
          <w:color w:val="000000"/>
          <w:sz w:val="28"/>
        </w:rPr>
        <w:t xml:space="preserve">
      117. После закрытия мест подземного захоронения мышьяксодержащих отходов природопользователь осуществляет рекультивацию территории и проводит мониторинг состояния окружающей среды в течение тридцати лет. Средства на проведение рекультивации нарушенных земель и последующего мониторинга поступают из ликвидационного фонда мест подземного захоронения. </w:t>
      </w:r>
    </w:p>
    <w:bookmarkEnd w:id="186"/>
    <w:bookmarkStart w:name="z200" w:id="187"/>
    <w:p>
      <w:pPr>
        <w:spacing w:after="0"/>
        <w:ind w:left="0"/>
        <w:jc w:val="both"/>
      </w:pPr>
      <w:r>
        <w:rPr>
          <w:rFonts w:ascii="Times New Roman"/>
          <w:b w:val="false"/>
          <w:i w:val="false"/>
          <w:color w:val="000000"/>
          <w:sz w:val="28"/>
        </w:rPr>
        <w:t>
      118. Выполненные работы по рекультивации мест подземного захоронения мышьяксодержащих отходов, в соответствии с условиями проекта ликвидации, принимаются актом приемочной комиссии с участием уполномоченного органа в области охраны окружающей среды.</w:t>
      </w:r>
    </w:p>
    <w:bookmarkEnd w:id="187"/>
    <w:bookmarkStart w:name="z201" w:id="188"/>
    <w:p>
      <w:pPr>
        <w:spacing w:after="0"/>
        <w:ind w:left="0"/>
        <w:jc w:val="both"/>
      </w:pPr>
      <w:r>
        <w:rPr>
          <w:rFonts w:ascii="Times New Roman"/>
          <w:b w:val="false"/>
          <w:i w:val="false"/>
          <w:color w:val="000000"/>
          <w:sz w:val="28"/>
        </w:rPr>
        <w:t xml:space="preserve">
      119. Для определения объема работ по ликвидации и необходимых для их выполнения средств, природопользователь разрабатывает проект ликвидации мест подземного захоронения и составляет технико-экономическое обоснование (расчеты) затрат на его реализацию. </w:t>
      </w:r>
    </w:p>
    <w:bookmarkEnd w:id="188"/>
    <w:bookmarkStart w:name="z202" w:id="189"/>
    <w:p>
      <w:pPr>
        <w:spacing w:after="0"/>
        <w:ind w:left="0"/>
        <w:jc w:val="both"/>
      </w:pPr>
      <w:r>
        <w:rPr>
          <w:rFonts w:ascii="Times New Roman"/>
          <w:b w:val="false"/>
          <w:i w:val="false"/>
          <w:color w:val="000000"/>
          <w:sz w:val="28"/>
        </w:rPr>
        <w:t>
      120. Проект по ликвидации мест подземного захоронения мышьяксодержащих отходов предусматривает выполнение работ по рекультивации территории, проведению мониторинга состояния окружающей среды в течение тридцати лет, удалению или ликвидации объектов и сооружений, использованных в процессе эксплуатации мест подземного захоронения, а также очистке окружающей среды от сверхнормативного загрязнения.</w:t>
      </w:r>
    </w:p>
    <w:bookmarkEnd w:id="189"/>
    <w:bookmarkStart w:name="z203" w:id="190"/>
    <w:p>
      <w:pPr>
        <w:spacing w:after="0"/>
        <w:ind w:left="0"/>
        <w:jc w:val="both"/>
      </w:pPr>
      <w:r>
        <w:rPr>
          <w:rFonts w:ascii="Times New Roman"/>
          <w:b w:val="false"/>
          <w:i w:val="false"/>
          <w:color w:val="000000"/>
          <w:sz w:val="28"/>
        </w:rPr>
        <w:t xml:space="preserve">
      121. Для проведения мероприятий по закрытию, рекультивации и последующего мониторинга состояния окружающей среды мест подземного захоронения мышьяксодержащих отходов создается ликвидационный фонд согласно Правилам формирования ликвидационных фондов полигонов размещения отходов,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125 (зарегистрированный в Реестре государственной регистрации нормативных правовых актов № 10015).</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