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b30c" w14:textId="995b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в области защиты и поддержки субъектов частного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8 октября 2014 года № 47. Зарегистрирован в Министерстве юстиции Республики Казахстан 5 ноября 2014 года № 9858. Утратил силу приказом Министра национальной экономики Республики Казахстан от 2 июня 2015 года № 417</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02.06.2015 </w:t>
      </w:r>
      <w:r>
        <w:rPr>
          <w:rFonts w:ascii="Times New Roman"/>
          <w:b w:val="false"/>
          <w:i w:val="false"/>
          <w:color w:val="ff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21)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31 января 2006 года «О частном предпринимательстве» и </w:t>
      </w:r>
      <w:r>
        <w:rPr>
          <w:rFonts w:ascii="Times New Roman"/>
          <w:b w:val="false"/>
          <w:i w:val="false"/>
          <w:color w:val="000000"/>
          <w:sz w:val="28"/>
        </w:rPr>
        <w:t>пунктом 3</w:t>
      </w:r>
      <w:r>
        <w:rPr>
          <w:rFonts w:ascii="Times New Roman"/>
          <w:b w:val="false"/>
          <w:i w:val="false"/>
          <w:color w:val="000000"/>
          <w:sz w:val="28"/>
        </w:rPr>
        <w:t xml:space="preserve"> статьи 13 Закона Республики Казахстан от 6 января 2011 года «О государственном контроле и надзоре в Республике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критерии</w:t>
      </w:r>
      <w:r>
        <w:rPr>
          <w:rFonts w:ascii="Times New Roman"/>
          <w:b w:val="false"/>
          <w:i w:val="false"/>
          <w:color w:val="000000"/>
          <w:sz w:val="28"/>
        </w:rPr>
        <w:t xml:space="preserve"> оценки степени риска в области защиты и поддержки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 в информационно-правовой системе «Әділет» и в официальных средствах массовой информации;</w:t>
      </w:r>
      <w:r>
        <w:br/>
      </w:r>
      <w:r>
        <w:rPr>
          <w:rFonts w:ascii="Times New Roman"/>
          <w:b w:val="false"/>
          <w:i w:val="false"/>
          <w:color w:val="000000"/>
          <w:sz w:val="28"/>
        </w:rPr>
        <w:t>
      2) размещение настоящего приказа на официальном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национальной экономики Жаксылыкова Т.М.</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Е. Досаев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w:t>
      </w:r>
      <w:r>
        <w:br/>
      </w:r>
      <w:r>
        <w:rPr>
          <w:rFonts w:ascii="Times New Roman"/>
          <w:b w:val="false"/>
          <w:i w:val="false"/>
          <w:color w:val="000000"/>
          <w:sz w:val="28"/>
        </w:rPr>
        <w:t>
Министра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октября 2014 г. № 47     </w:t>
      </w:r>
    </w:p>
    <w:bookmarkEnd w:id="1"/>
    <w:bookmarkStart w:name="z7" w:id="2"/>
    <w:p>
      <w:pPr>
        <w:spacing w:after="0"/>
        <w:ind w:left="0"/>
        <w:jc w:val="left"/>
      </w:pPr>
      <w:r>
        <w:rPr>
          <w:rFonts w:ascii="Times New Roman"/>
          <w:b/>
          <w:i w:val="false"/>
          <w:color w:val="000000"/>
        </w:rPr>
        <w:t xml:space="preserve"> 
Критерии оценки степени риска в области защиты и поддержки</w:t>
      </w:r>
      <w:r>
        <w:br/>
      </w:r>
      <w:r>
        <w:rPr>
          <w:rFonts w:ascii="Times New Roman"/>
          <w:b/>
          <w:i w:val="false"/>
          <w:color w:val="000000"/>
        </w:rPr>
        <w:t>
субъектов частного предпринимательства</w:t>
      </w:r>
    </w:p>
    <w:bookmarkEnd w:id="2"/>
    <w:bookmarkStart w:name="z8" w:id="3"/>
    <w:p>
      <w:pPr>
        <w:spacing w:after="0"/>
        <w:ind w:left="0"/>
        <w:jc w:val="both"/>
      </w:pPr>
      <w:r>
        <w:rPr>
          <w:rFonts w:ascii="Times New Roman"/>
          <w:b w:val="false"/>
          <w:i w:val="false"/>
          <w:color w:val="000000"/>
          <w:sz w:val="28"/>
        </w:rPr>
        <w:t>
      1. Настоящие критерии оценки степени риска в области защиты и поддержки субъектов частного предпринимательства (далее – Критерии) разработаны в соответствии с законами Республики Казахстан «</w:t>
      </w:r>
      <w:r>
        <w:rPr>
          <w:rFonts w:ascii="Times New Roman"/>
          <w:b w:val="false"/>
          <w:i w:val="false"/>
          <w:color w:val="000000"/>
          <w:sz w:val="28"/>
        </w:rPr>
        <w:t>О государственном контроле и надзоре в Республике Казахстан</w:t>
      </w:r>
      <w:r>
        <w:rPr>
          <w:rFonts w:ascii="Times New Roman"/>
          <w:b w:val="false"/>
          <w:i w:val="false"/>
          <w:color w:val="000000"/>
          <w:sz w:val="28"/>
        </w:rPr>
        <w:t>» и «</w:t>
      </w:r>
      <w:r>
        <w:rPr>
          <w:rFonts w:ascii="Times New Roman"/>
          <w:b w:val="false"/>
          <w:i w:val="false"/>
          <w:color w:val="000000"/>
          <w:sz w:val="28"/>
        </w:rPr>
        <w:t>О частном предпринимательстве</w:t>
      </w:r>
      <w:r>
        <w:rPr>
          <w:rFonts w:ascii="Times New Roman"/>
          <w:b w:val="false"/>
          <w:i w:val="false"/>
          <w:color w:val="000000"/>
          <w:sz w:val="28"/>
        </w:rPr>
        <w:t>» в целях отнесения проверяемых субъектов к степеням риска и отбора проверяемых субъектов для проведения плановых проверок.</w:t>
      </w:r>
      <w:r>
        <w:br/>
      </w:r>
      <w:r>
        <w:rPr>
          <w:rFonts w:ascii="Times New Roman"/>
          <w:b w:val="false"/>
          <w:i w:val="false"/>
          <w:color w:val="000000"/>
          <w:sz w:val="28"/>
        </w:rPr>
        <w:t>
</w:t>
      </w:r>
      <w:r>
        <w:rPr>
          <w:rFonts w:ascii="Times New Roman"/>
          <w:b w:val="false"/>
          <w:i w:val="false"/>
          <w:color w:val="000000"/>
          <w:sz w:val="28"/>
        </w:rPr>
        <w:t>
      2. В настоящих Критериях используются следующие понятия:</w:t>
      </w:r>
      <w:r>
        <w:br/>
      </w:r>
      <w:r>
        <w:rPr>
          <w:rFonts w:ascii="Times New Roman"/>
          <w:b w:val="false"/>
          <w:i w:val="false"/>
          <w:color w:val="000000"/>
          <w:sz w:val="28"/>
        </w:rPr>
        <w:t>
      риск – вероятность причинения вреда, в результате неправомерной деятельности проверяемого субъекта деятельности, имущественным и законным интересам субъектов частного предпринимательства.</w:t>
      </w:r>
      <w:r>
        <w:br/>
      </w:r>
      <w:r>
        <w:rPr>
          <w:rFonts w:ascii="Times New Roman"/>
          <w:b w:val="false"/>
          <w:i w:val="false"/>
          <w:color w:val="000000"/>
          <w:sz w:val="28"/>
        </w:rPr>
        <w:t>
      проверяемые субъекты – юридические лица, в том числе государственные органы, осуществляющие государственный контроль и надзор в сферах деятельности субъектов частного предпринимательства, лицензирование или выдачу иных разрешительных документов, прием уведомлений на осуществление предпринимательской деятельности или иных действий, государственную поддержку субъектам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3. Периодичность проведения плановых проверок определяется в зависимости от степени риска с периодичностью не чаще:</w:t>
      </w:r>
      <w:r>
        <w:br/>
      </w:r>
      <w:r>
        <w:rPr>
          <w:rFonts w:ascii="Times New Roman"/>
          <w:b w:val="false"/>
          <w:i w:val="false"/>
          <w:color w:val="000000"/>
          <w:sz w:val="28"/>
        </w:rPr>
        <w:t>
      одного раза в год – при высокой степени риска;</w:t>
      </w:r>
      <w:r>
        <w:br/>
      </w:r>
      <w:r>
        <w:rPr>
          <w:rFonts w:ascii="Times New Roman"/>
          <w:b w:val="false"/>
          <w:i w:val="false"/>
          <w:color w:val="000000"/>
          <w:sz w:val="28"/>
        </w:rPr>
        <w:t>
      одного раза в три года – при средней степени риска;</w:t>
      </w:r>
      <w:r>
        <w:br/>
      </w:r>
      <w:r>
        <w:rPr>
          <w:rFonts w:ascii="Times New Roman"/>
          <w:b w:val="false"/>
          <w:i w:val="false"/>
          <w:color w:val="000000"/>
          <w:sz w:val="28"/>
        </w:rPr>
        <w:t>
      одного раза в пять лет – при незначительной степени риска.</w:t>
      </w:r>
      <w:r>
        <w:br/>
      </w:r>
      <w:r>
        <w:rPr>
          <w:rFonts w:ascii="Times New Roman"/>
          <w:b w:val="false"/>
          <w:i w:val="false"/>
          <w:color w:val="000000"/>
          <w:sz w:val="28"/>
        </w:rPr>
        <w:t>
</w:t>
      </w:r>
      <w:r>
        <w:rPr>
          <w:rFonts w:ascii="Times New Roman"/>
          <w:b w:val="false"/>
          <w:i w:val="false"/>
          <w:color w:val="000000"/>
          <w:sz w:val="28"/>
        </w:rPr>
        <w:t>
      4. Распределение проверяемых субъектов по степеням риска осуществляется на основании Критериев в два этапа: первичное и последующее распределение.</w:t>
      </w:r>
      <w:r>
        <w:br/>
      </w:r>
      <w:r>
        <w:rPr>
          <w:rFonts w:ascii="Times New Roman"/>
          <w:b w:val="false"/>
          <w:i w:val="false"/>
          <w:color w:val="000000"/>
          <w:sz w:val="28"/>
        </w:rPr>
        <w:t>
      При этом, такое распределение осуществляется раздельно по вопросам соблюдения проверяемыми субъектами порядка:</w:t>
      </w:r>
      <w:r>
        <w:br/>
      </w:r>
      <w:r>
        <w:rPr>
          <w:rFonts w:ascii="Times New Roman"/>
          <w:b w:val="false"/>
          <w:i w:val="false"/>
          <w:color w:val="000000"/>
          <w:sz w:val="28"/>
        </w:rPr>
        <w:t>
      1) осуществления государственного контроля и надзора в сферах деятельности субъектов частного предпринимательства;</w:t>
      </w:r>
      <w:r>
        <w:br/>
      </w:r>
      <w:r>
        <w:rPr>
          <w:rFonts w:ascii="Times New Roman"/>
          <w:b w:val="false"/>
          <w:i w:val="false"/>
          <w:color w:val="000000"/>
          <w:sz w:val="28"/>
        </w:rPr>
        <w:t>
      2) лицензирования или выдачи иных разрешительных документов, приема уведомления на осуществление предпринимательской деятельности или иных действий;</w:t>
      </w:r>
      <w:r>
        <w:br/>
      </w:r>
      <w:r>
        <w:rPr>
          <w:rFonts w:ascii="Times New Roman"/>
          <w:b w:val="false"/>
          <w:i w:val="false"/>
          <w:color w:val="000000"/>
          <w:sz w:val="28"/>
        </w:rPr>
        <w:t>
      3) осуществления государственной поддержки.</w:t>
      </w:r>
      <w:r>
        <w:br/>
      </w:r>
      <w:r>
        <w:rPr>
          <w:rFonts w:ascii="Times New Roman"/>
          <w:b w:val="false"/>
          <w:i w:val="false"/>
          <w:color w:val="000000"/>
          <w:sz w:val="28"/>
        </w:rPr>
        <w:t>
</w:t>
      </w:r>
      <w:r>
        <w:rPr>
          <w:rFonts w:ascii="Times New Roman"/>
          <w:b w:val="false"/>
          <w:i w:val="false"/>
          <w:color w:val="000000"/>
          <w:sz w:val="28"/>
        </w:rPr>
        <w:t>
      5. Первичное распределение осуществляется на основании объективных критериев оценки степени риска.</w:t>
      </w:r>
      <w:r>
        <w:br/>
      </w:r>
      <w:r>
        <w:rPr>
          <w:rFonts w:ascii="Times New Roman"/>
          <w:b w:val="false"/>
          <w:i w:val="false"/>
          <w:color w:val="000000"/>
          <w:sz w:val="28"/>
        </w:rPr>
        <w:t>
</w:t>
      </w:r>
      <w:r>
        <w:rPr>
          <w:rFonts w:ascii="Times New Roman"/>
          <w:b w:val="false"/>
          <w:i w:val="false"/>
          <w:color w:val="000000"/>
          <w:sz w:val="28"/>
        </w:rPr>
        <w:t>
      6. Объективными критериями оценки степени риска являются показатели проверяемых субъектов, характеризующие степень административной нагрузки на предпринимательскую деятельность.</w:t>
      </w:r>
      <w:r>
        <w:br/>
      </w:r>
      <w:r>
        <w:rPr>
          <w:rFonts w:ascii="Times New Roman"/>
          <w:b w:val="false"/>
          <w:i w:val="false"/>
          <w:color w:val="000000"/>
          <w:sz w:val="28"/>
        </w:rPr>
        <w:t>
      Для определения степени административной нагрузки показатели проверяемых субъектов распределяются по группам высокой, средней и незначительной степени риска в следующем порядке:</w:t>
      </w:r>
      <w:r>
        <w:br/>
      </w:r>
      <w:r>
        <w:rPr>
          <w:rFonts w:ascii="Times New Roman"/>
          <w:b w:val="false"/>
          <w:i w:val="false"/>
          <w:color w:val="000000"/>
          <w:sz w:val="28"/>
        </w:rPr>
        <w:t>
      к группе высокой степени риска относятся статистические показатели по отрицательным решениям проверяемых субъектов, вынесенным в отношении субъектов частного предпринимательства;</w:t>
      </w:r>
      <w:r>
        <w:br/>
      </w:r>
      <w:r>
        <w:rPr>
          <w:rFonts w:ascii="Times New Roman"/>
          <w:b w:val="false"/>
          <w:i w:val="false"/>
          <w:color w:val="000000"/>
          <w:sz w:val="28"/>
        </w:rPr>
        <w:t>
      к группе средней степени риска относятся аналитические показатели проверяемых субъектов;</w:t>
      </w:r>
      <w:r>
        <w:br/>
      </w:r>
      <w:r>
        <w:rPr>
          <w:rFonts w:ascii="Times New Roman"/>
          <w:b w:val="false"/>
          <w:i w:val="false"/>
          <w:color w:val="000000"/>
          <w:sz w:val="28"/>
        </w:rPr>
        <w:t>
      к группе незначительной степени риска относятся статистические данные проверяемых субъектов, носящие учетный характер.</w:t>
      </w:r>
      <w:r>
        <w:br/>
      </w:r>
      <w:r>
        <w:rPr>
          <w:rFonts w:ascii="Times New Roman"/>
          <w:b w:val="false"/>
          <w:i w:val="false"/>
          <w:color w:val="000000"/>
          <w:sz w:val="28"/>
        </w:rPr>
        <w:t>
      Показатели проверяемых субъектов, характеризующие степень административной нагрузки на предпринимательскую деятельность, с разбивкой по группам риска указаны в таблице,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7. Применение показателей проверяемых субъектов, характеризующих степень административной нагрузки на предпринимательскую деятельность, с разбивкой по группам риска для целей первичного распределения проверяемых субъектов по степеням риска осуществляется в следующем порядке:</w:t>
      </w:r>
      <w:r>
        <w:br/>
      </w:r>
      <w:r>
        <w:rPr>
          <w:rFonts w:ascii="Times New Roman"/>
          <w:b w:val="false"/>
          <w:i w:val="false"/>
          <w:color w:val="000000"/>
          <w:sz w:val="28"/>
        </w:rPr>
        <w:t>
      1) составляется рейтинг проверяемых субъектов по каждому показателю с наибольшего значения к наименьшему и определением порядкового номера проверяемого субъекта в зависимости от занимаемой позиции в рейтинге;</w:t>
      </w:r>
      <w:r>
        <w:br/>
      </w:r>
      <w:r>
        <w:rPr>
          <w:rFonts w:ascii="Times New Roman"/>
          <w:b w:val="false"/>
          <w:i w:val="false"/>
          <w:color w:val="000000"/>
          <w:sz w:val="28"/>
        </w:rPr>
        <w:t>
      2) составляется рейтинг проверяемых субъектов по показателям одной группы риска.</w:t>
      </w:r>
      <w:r>
        <w:br/>
      </w:r>
      <w:r>
        <w:rPr>
          <w:rFonts w:ascii="Times New Roman"/>
          <w:b w:val="false"/>
          <w:i w:val="false"/>
          <w:color w:val="000000"/>
          <w:sz w:val="28"/>
        </w:rPr>
        <w:t>
      Осуществляется сложение порядковых номеров проверяемых субъектов, полученных в результате составления рейтинга согласно подпункту 1) настоящего пункта, по показателям внутри одной группы риска. По полученным значениям, составляется рейтинг проверяемых субъектов с наибольшего значения к наименьшему для определения общей позиции проверяемого субъекта по показателям внутри одной группы риска;</w:t>
      </w:r>
      <w:r>
        <w:br/>
      </w:r>
      <w:r>
        <w:rPr>
          <w:rFonts w:ascii="Times New Roman"/>
          <w:b w:val="false"/>
          <w:i w:val="false"/>
          <w:color w:val="000000"/>
          <w:sz w:val="28"/>
        </w:rPr>
        <w:t>
      3) определяется коэффициент вероятности нарушения проверяемым субъектом прав и законных интересов субъектов частного предпринимательства путем применения поправочных коэффициентов к общим позициям проверяемых субъектов, полученным в результате составления рейтинга согласно подпункту 2) настоящего пункта.</w:t>
      </w:r>
      <w:r>
        <w:br/>
      </w:r>
      <w:r>
        <w:rPr>
          <w:rFonts w:ascii="Times New Roman"/>
          <w:b w:val="false"/>
          <w:i w:val="false"/>
          <w:color w:val="000000"/>
          <w:sz w:val="28"/>
        </w:rPr>
        <w:t>
      Определение коэффициента вероятности нарушения проверяемым субъектом прав и законных интересов субъектов частного предпринимательства осуществляется по следующей формуле:</w:t>
      </w:r>
    </w:p>
    <w:bookmarkEnd w:id="3"/>
    <w:p>
      <w:pPr>
        <w:spacing w:after="0"/>
        <w:ind w:left="0"/>
        <w:jc w:val="both"/>
      </w:pPr>
      <w:r>
        <w:drawing>
          <wp:inline distT="0" distB="0" distL="0" distR="0">
            <wp:extent cx="81407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40700" cy="3784600"/>
                    </a:xfrm>
                    <a:prstGeom prst="rect">
                      <a:avLst/>
                    </a:prstGeom>
                  </pic:spPr>
                </pic:pic>
              </a:graphicData>
            </a:graphic>
          </wp:inline>
        </w:drawing>
      </w:r>
    </w:p>
    <w:bookmarkStart w:name="z15" w:id="4"/>
    <w:p>
      <w:pPr>
        <w:spacing w:after="0"/>
        <w:ind w:left="0"/>
        <w:jc w:val="both"/>
      </w:pPr>
      <w:r>
        <w:rPr>
          <w:rFonts w:ascii="Times New Roman"/>
          <w:b w:val="false"/>
          <w:i w:val="false"/>
          <w:color w:val="000000"/>
          <w:sz w:val="28"/>
        </w:rPr>
        <w:t>      4) составляется рейтинг проверяемых субъектов по коэффициентам вероятности нарушения проверяемым субъектом прав и законных интересов субъектов частного предпринимательства с наибольшего значения к наименьшему;</w:t>
      </w:r>
      <w:r>
        <w:br/>
      </w:r>
      <w:r>
        <w:rPr>
          <w:rFonts w:ascii="Times New Roman"/>
          <w:b w:val="false"/>
          <w:i w:val="false"/>
          <w:color w:val="000000"/>
          <w:sz w:val="28"/>
        </w:rPr>
        <w:t>
      5) осуществляется распределение проверяемых субъектов по степеням высокого, среднего и незначительного риска на основании коэффициентов вероятности нарушения проверяемым субъектом прав и законных интересов субъектов частного предпринимательства.</w:t>
      </w:r>
      <w:r>
        <w:br/>
      </w:r>
      <w:r>
        <w:rPr>
          <w:rFonts w:ascii="Times New Roman"/>
          <w:b w:val="false"/>
          <w:i w:val="false"/>
          <w:color w:val="000000"/>
          <w:sz w:val="28"/>
        </w:rPr>
        <w:t>
      8. Распределение проверяемых субъектов по степеням высокого, среднего и незначительного риска осуществляется в следующем порядке:</w:t>
      </w:r>
      <w:r>
        <w:br/>
      </w:r>
      <w:r>
        <w:rPr>
          <w:rFonts w:ascii="Times New Roman"/>
          <w:b w:val="false"/>
          <w:i w:val="false"/>
          <w:color w:val="000000"/>
          <w:sz w:val="28"/>
        </w:rPr>
        <w:t>
      1) к группе высокой степени риска относятся первые пять проверяемых субъектов, имеющих наибольшее значение коэффициента вероятности нарушения проверяемым субъектом прав и законных интересов субъектов частного предпринимательства;</w:t>
      </w:r>
      <w:r>
        <w:br/>
      </w:r>
      <w:r>
        <w:rPr>
          <w:rFonts w:ascii="Times New Roman"/>
          <w:b w:val="false"/>
          <w:i w:val="false"/>
          <w:color w:val="000000"/>
          <w:sz w:val="28"/>
        </w:rPr>
        <w:t>
      2) к группе средней степени риска относятся вторые пять проверяемых субъектов, имеющих значение коэффициента вероятности нарушения проверяемым субъектом прав и законных интересов субъектов частного предпринимательства меньше чем проверяемых субъектов, отнесенных к группе высокой степени риска;</w:t>
      </w:r>
      <w:r>
        <w:br/>
      </w:r>
      <w:r>
        <w:rPr>
          <w:rFonts w:ascii="Times New Roman"/>
          <w:b w:val="false"/>
          <w:i w:val="false"/>
          <w:color w:val="000000"/>
          <w:sz w:val="28"/>
        </w:rPr>
        <w:t>
      3) к группе незначительной степени риска относятся проверяемые субъекты, не отнесенные к группам высокой и средней степени риска.</w:t>
      </w:r>
      <w:r>
        <w:br/>
      </w:r>
      <w:r>
        <w:rPr>
          <w:rFonts w:ascii="Times New Roman"/>
          <w:b w:val="false"/>
          <w:i w:val="false"/>
          <w:color w:val="000000"/>
          <w:sz w:val="28"/>
        </w:rPr>
        <w:t>
</w:t>
      </w:r>
      <w:r>
        <w:rPr>
          <w:rFonts w:ascii="Times New Roman"/>
          <w:b w:val="false"/>
          <w:i w:val="false"/>
          <w:color w:val="000000"/>
          <w:sz w:val="28"/>
        </w:rPr>
        <w:t>
      9. В случае наличия территориальных подразделений проверяемого субъекта, мероприятия системы оценки степени риска применяются в отношении территориальных подразделений каждого проверяемого субъекта с целью определения территориальных подразделений с высокой вероятностью нарушения прав и законных интересов субъектов частного предпринимательства.</w:t>
      </w:r>
      <w:r>
        <w:br/>
      </w:r>
      <w:r>
        <w:rPr>
          <w:rFonts w:ascii="Times New Roman"/>
          <w:b w:val="false"/>
          <w:i w:val="false"/>
          <w:color w:val="000000"/>
          <w:sz w:val="28"/>
        </w:rPr>
        <w:t>
      В таком случае плановой проверке подвергаются территориальные подразделения проверяемых субъектов, имеющие наибольшее значение коэффициента вероятности нарушения проверяемым субъектом прав и законных интересов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10. Последующее распределение проверяемых субъектов по группам высокого, среднего и незначительной степени риска осуществляется на основании субъективных критериев оценки степени риска и только по результатам плановых проверок.</w:t>
      </w:r>
      <w:r>
        <w:br/>
      </w:r>
      <w:r>
        <w:rPr>
          <w:rFonts w:ascii="Times New Roman"/>
          <w:b w:val="false"/>
          <w:i w:val="false"/>
          <w:color w:val="000000"/>
          <w:sz w:val="28"/>
        </w:rPr>
        <w:t>
      Субъективные критерии оценки степени риска определяются в зависимости от допущенных проверяемыми субъектами нарушений установленных законодательством требований.</w:t>
      </w:r>
      <w:r>
        <w:br/>
      </w:r>
      <w:r>
        <w:rPr>
          <w:rFonts w:ascii="Times New Roman"/>
          <w:b w:val="false"/>
          <w:i w:val="false"/>
          <w:color w:val="000000"/>
          <w:sz w:val="28"/>
        </w:rPr>
        <w:t>
      Субъективные критерии состоят из грубых, значительных и незначительных нарушений,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11. За каждое совершенное нарушение проверяемому субъекту присваиваются баллы, а именно:</w:t>
      </w:r>
      <w:r>
        <w:br/>
      </w:r>
      <w:r>
        <w:rPr>
          <w:rFonts w:ascii="Times New Roman"/>
          <w:b w:val="false"/>
          <w:i w:val="false"/>
          <w:color w:val="000000"/>
          <w:sz w:val="28"/>
        </w:rPr>
        <w:t>
      1) за одно грубое нарушение – десять баллов;</w:t>
      </w:r>
      <w:r>
        <w:br/>
      </w:r>
      <w:r>
        <w:rPr>
          <w:rFonts w:ascii="Times New Roman"/>
          <w:b w:val="false"/>
          <w:i w:val="false"/>
          <w:color w:val="000000"/>
          <w:sz w:val="28"/>
        </w:rPr>
        <w:t>
      2) за одно значительное нарушение – пять баллов;</w:t>
      </w:r>
      <w:r>
        <w:br/>
      </w:r>
      <w:r>
        <w:rPr>
          <w:rFonts w:ascii="Times New Roman"/>
          <w:b w:val="false"/>
          <w:i w:val="false"/>
          <w:color w:val="000000"/>
          <w:sz w:val="28"/>
        </w:rPr>
        <w:t>
      3) за одно незначительное нарушение – три балла.</w:t>
      </w:r>
      <w:r>
        <w:br/>
      </w:r>
      <w:r>
        <w:rPr>
          <w:rFonts w:ascii="Times New Roman"/>
          <w:b w:val="false"/>
          <w:i w:val="false"/>
          <w:color w:val="000000"/>
          <w:sz w:val="28"/>
        </w:rPr>
        <w:t>
</w:t>
      </w:r>
      <w:r>
        <w:rPr>
          <w:rFonts w:ascii="Times New Roman"/>
          <w:b w:val="false"/>
          <w:i w:val="false"/>
          <w:color w:val="000000"/>
          <w:sz w:val="28"/>
        </w:rPr>
        <w:t>
      12. По итогам плановой проверки, в случае допущения проверяемым субъектом нарушений, указанных в приложении к настоящим Критериям, количество набранных баллов суммируется для определения общего количество набранных баллов проверяемого субъекта.</w:t>
      </w:r>
      <w:r>
        <w:br/>
      </w:r>
      <w:r>
        <w:rPr>
          <w:rFonts w:ascii="Times New Roman"/>
          <w:b w:val="false"/>
          <w:i w:val="false"/>
          <w:color w:val="000000"/>
          <w:sz w:val="28"/>
        </w:rPr>
        <w:t>
</w:t>
      </w:r>
      <w:r>
        <w:rPr>
          <w:rFonts w:ascii="Times New Roman"/>
          <w:b w:val="false"/>
          <w:i w:val="false"/>
          <w:color w:val="000000"/>
          <w:sz w:val="28"/>
        </w:rPr>
        <w:t>
      13. По результатам набранных баллов:</w:t>
      </w:r>
      <w:r>
        <w:br/>
      </w:r>
      <w:r>
        <w:rPr>
          <w:rFonts w:ascii="Times New Roman"/>
          <w:b w:val="false"/>
          <w:i w:val="false"/>
          <w:color w:val="000000"/>
          <w:sz w:val="28"/>
        </w:rPr>
        <w:t>
      1) к группе высокой степени риска относятся проверяемые субъекты, набравшие 150 баллов и больше;</w:t>
      </w:r>
      <w:r>
        <w:br/>
      </w:r>
      <w:r>
        <w:rPr>
          <w:rFonts w:ascii="Times New Roman"/>
          <w:b w:val="false"/>
          <w:i w:val="false"/>
          <w:color w:val="000000"/>
          <w:sz w:val="28"/>
        </w:rPr>
        <w:t>
      2) к группе средней степени риска относятся проверяемые субъекты, набравшие от 80 до 150 баллов;</w:t>
      </w:r>
      <w:r>
        <w:br/>
      </w:r>
      <w:r>
        <w:rPr>
          <w:rFonts w:ascii="Times New Roman"/>
          <w:b w:val="false"/>
          <w:i w:val="false"/>
          <w:color w:val="000000"/>
          <w:sz w:val="28"/>
        </w:rPr>
        <w:t>
      3) к группе незначительной степени риска относятся проверяемые субъекты, набравшие до 80 баллов включительно.</w:t>
      </w:r>
      <w:r>
        <w:br/>
      </w:r>
      <w:r>
        <w:rPr>
          <w:rFonts w:ascii="Times New Roman"/>
          <w:b w:val="false"/>
          <w:i w:val="false"/>
          <w:color w:val="000000"/>
          <w:sz w:val="28"/>
        </w:rPr>
        <w:t>
</w:t>
      </w:r>
      <w:r>
        <w:rPr>
          <w:rFonts w:ascii="Times New Roman"/>
          <w:b w:val="false"/>
          <w:i w:val="false"/>
          <w:color w:val="000000"/>
          <w:sz w:val="28"/>
        </w:rPr>
        <w:t>
      14. Формирование плана проверок Комитета осуществляется раздельно по вопросам соблюдения проверяемыми субъектами порядка:</w:t>
      </w:r>
      <w:r>
        <w:br/>
      </w:r>
      <w:r>
        <w:rPr>
          <w:rFonts w:ascii="Times New Roman"/>
          <w:b w:val="false"/>
          <w:i w:val="false"/>
          <w:color w:val="000000"/>
          <w:sz w:val="28"/>
        </w:rPr>
        <w:t>
      1) осуществления государственного контроля и надзора в сферах деятельности субъектов частного предпринимательства;</w:t>
      </w:r>
      <w:r>
        <w:br/>
      </w:r>
      <w:r>
        <w:rPr>
          <w:rFonts w:ascii="Times New Roman"/>
          <w:b w:val="false"/>
          <w:i w:val="false"/>
          <w:color w:val="000000"/>
          <w:sz w:val="28"/>
        </w:rPr>
        <w:t>
      2) лицензирования или выдачи иных разрешительных документов, приема уведомления на осуществление предпринимательской деятельности или иных действий;</w:t>
      </w:r>
      <w:r>
        <w:br/>
      </w:r>
      <w:r>
        <w:rPr>
          <w:rFonts w:ascii="Times New Roman"/>
          <w:b w:val="false"/>
          <w:i w:val="false"/>
          <w:color w:val="000000"/>
          <w:sz w:val="28"/>
        </w:rPr>
        <w:t xml:space="preserve">
      3) осуществления государственной поддержки. </w:t>
      </w:r>
      <w:r>
        <w:br/>
      </w:r>
      <w:r>
        <w:rPr>
          <w:rFonts w:ascii="Times New Roman"/>
          <w:b w:val="false"/>
          <w:i w:val="false"/>
          <w:color w:val="000000"/>
          <w:sz w:val="28"/>
        </w:rPr>
        <w:t>
</w:t>
      </w:r>
      <w:r>
        <w:rPr>
          <w:rFonts w:ascii="Times New Roman"/>
          <w:b w:val="false"/>
          <w:i w:val="false"/>
          <w:color w:val="000000"/>
          <w:sz w:val="28"/>
        </w:rPr>
        <w:t>
      15. Каждый план проверок по вопросам,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настоящих Критериев, должен состоять из проверяемых субъектов, отнесенных в соответствии с объективными или субъективными критериями оценки степени риска отнесенных к группам высокой, средней и незначительной степени риска.</w:t>
      </w:r>
      <w:r>
        <w:br/>
      </w:r>
      <w:r>
        <w:rPr>
          <w:rFonts w:ascii="Times New Roman"/>
          <w:b w:val="false"/>
          <w:i w:val="false"/>
          <w:color w:val="000000"/>
          <w:sz w:val="28"/>
        </w:rPr>
        <w:t>
</w:t>
      </w:r>
      <w:r>
        <w:rPr>
          <w:rFonts w:ascii="Times New Roman"/>
          <w:b w:val="false"/>
          <w:i w:val="false"/>
          <w:color w:val="000000"/>
          <w:sz w:val="28"/>
        </w:rPr>
        <w:t>
      16. Включение в план проверок проверяемых субъектов внутри одной группы риска:</w:t>
      </w:r>
      <w:r>
        <w:br/>
      </w:r>
      <w:r>
        <w:rPr>
          <w:rFonts w:ascii="Times New Roman"/>
          <w:b w:val="false"/>
          <w:i w:val="false"/>
          <w:color w:val="000000"/>
          <w:sz w:val="28"/>
        </w:rPr>
        <w:t>
      при первичном распределении осуществляется по наибольшему значению коэффициента вероятности нарушения проверяемым субъектом прав и законных интересов субъектов частного предпринимательства;</w:t>
      </w:r>
      <w:r>
        <w:br/>
      </w:r>
      <w:r>
        <w:rPr>
          <w:rFonts w:ascii="Times New Roman"/>
          <w:b w:val="false"/>
          <w:i w:val="false"/>
          <w:color w:val="000000"/>
          <w:sz w:val="28"/>
        </w:rPr>
        <w:t>
      при последующем распределении по наибольшему количеству набранных баллов по итогам плановой проверки. Из проверяемых субъектов, набравших одинаковое количество баллов, в план проверок в первую очередь включают проверяемого субъекта, совершившего наибольшее количество грубых нарушений.</w:t>
      </w:r>
    </w:p>
    <w:bookmarkEnd w:id="4"/>
    <w:bookmarkStart w:name="z24" w:id="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Критериям оценки степени   </w:t>
      </w:r>
      <w:r>
        <w:br/>
      </w:r>
      <w:r>
        <w:rPr>
          <w:rFonts w:ascii="Times New Roman"/>
          <w:b w:val="false"/>
          <w:i w:val="false"/>
          <w:color w:val="000000"/>
          <w:sz w:val="28"/>
        </w:rPr>
        <w:t xml:space="preserve">
риска в области защиты и   </w:t>
      </w:r>
      <w:r>
        <w:br/>
      </w:r>
      <w:r>
        <w:rPr>
          <w:rFonts w:ascii="Times New Roman"/>
          <w:b w:val="false"/>
          <w:i w:val="false"/>
          <w:color w:val="000000"/>
          <w:sz w:val="28"/>
        </w:rPr>
        <w:t xml:space="preserve">
поддержки субъектов     </w:t>
      </w:r>
      <w:r>
        <w:br/>
      </w:r>
      <w:r>
        <w:rPr>
          <w:rFonts w:ascii="Times New Roman"/>
          <w:b w:val="false"/>
          <w:i w:val="false"/>
          <w:color w:val="000000"/>
          <w:sz w:val="28"/>
        </w:rPr>
        <w:t xml:space="preserve">
частного предпринимательства </w:t>
      </w:r>
    </w:p>
    <w:bookmarkEnd w:id="5"/>
    <w:bookmarkStart w:name="z25" w:id="6"/>
    <w:p>
      <w:pPr>
        <w:spacing w:after="0"/>
        <w:ind w:left="0"/>
        <w:jc w:val="both"/>
      </w:pPr>
      <w:r>
        <w:rPr>
          <w:rFonts w:ascii="Times New Roman"/>
          <w:b w:val="false"/>
          <w:i w:val="false"/>
          <w:color w:val="000000"/>
          <w:sz w:val="28"/>
        </w:rPr>
        <w:t>
     </w:t>
      </w:r>
      <w:r>
        <w:rPr>
          <w:rFonts w:ascii="Times New Roman"/>
          <w:b/>
          <w:i w:val="false"/>
          <w:color w:val="000000"/>
          <w:sz w:val="28"/>
        </w:rPr>
        <w:t>Показатели проверяемых субъектов, характеризующие степень</w:t>
      </w:r>
      <w:r>
        <w:br/>
      </w:r>
      <w:r>
        <w:rPr>
          <w:rFonts w:ascii="Times New Roman"/>
          <w:b w:val="false"/>
          <w:i w:val="false"/>
          <w:color w:val="000000"/>
          <w:sz w:val="28"/>
        </w:rPr>
        <w:t>
</w:t>
      </w:r>
      <w:r>
        <w:rPr>
          <w:rFonts w:ascii="Times New Roman"/>
          <w:b/>
          <w:i w:val="false"/>
          <w:color w:val="000000"/>
          <w:sz w:val="28"/>
        </w:rPr>
        <w:t>административной нагрузки на предпринимательскую деятельность,</w:t>
      </w:r>
      <w:r>
        <w:br/>
      </w:r>
      <w:r>
        <w:rPr>
          <w:rFonts w:ascii="Times New Roman"/>
          <w:b w:val="false"/>
          <w:i w:val="false"/>
          <w:color w:val="000000"/>
          <w:sz w:val="28"/>
        </w:rPr>
        <w:t>
                     </w:t>
      </w:r>
      <w:r>
        <w:rPr>
          <w:rFonts w:ascii="Times New Roman"/>
          <w:b/>
          <w:i w:val="false"/>
          <w:color w:val="000000"/>
          <w:sz w:val="28"/>
        </w:rPr>
        <w:t>с разбивкой по группам риска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3808"/>
        <w:gridCol w:w="3495"/>
        <w:gridCol w:w="3540"/>
      </w:tblGrid>
      <w:tr>
        <w:trPr>
          <w:trHeight w:val="6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Группы риска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Государственный контроль и надзор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Разрешительная система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Государственная поддержка</w:t>
            </w:r>
          </w:p>
        </w:tc>
      </w:tr>
      <w:tr>
        <w:trPr>
          <w:trHeight w:val="975" w:hRule="atLeast"/>
        </w:trPr>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 степень риска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административного штрафа</w:t>
            </w:r>
          </w:p>
        </w:tc>
        <w:tc>
          <w:tcPr>
            <w:tcW w:w="3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отказов в выдаче разрешения</w:t>
            </w:r>
          </w:p>
        </w:tc>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отказов в осуществлении государственной поддержки</w:t>
            </w:r>
          </w:p>
        </w:tc>
      </w:tr>
      <w:tr>
        <w:trPr>
          <w:trHeight w:val="975" w:hRule="atLeast"/>
        </w:trPr>
        <w:tc>
          <w:tcPr>
            <w:tcW w:w="0" w:type="auto"/>
            <w:vMerge/>
            <w:tcBorders>
              <w:top w:val="nil"/>
              <w:left w:val="single" w:color="cfcfcf" w:sz="5"/>
              <w:bottom w:val="single" w:color="cfcfcf" w:sz="5"/>
              <w:right w:val="single" w:color="cfcfcf" w:sz="5"/>
            </w:tcBorders>
          </w:tcP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административных взысканий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05" w:hRule="atLeast"/>
        </w:trPr>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степень риска</w:t>
            </w:r>
          </w:p>
        </w:tc>
        <w:tc>
          <w:tcPr>
            <w:tcW w:w="3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проверок</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 подтверждающих соответствие требованиям</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 подтверждающих соответствие требованиям</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срок выдачи разрешения</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критериев допуска к программе</w:t>
            </w:r>
          </w:p>
        </w:tc>
      </w:tr>
      <w:tr>
        <w:trPr>
          <w:trHeight w:val="975" w:hRule="atLeast"/>
        </w:trPr>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Незначительная степень риска</w:t>
            </w:r>
          </w:p>
        </w:tc>
        <w:tc>
          <w:tcPr>
            <w:tcW w:w="3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подконтрольных субъектов</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выдаваемых разрешений</w:t>
            </w:r>
          </w:p>
        </w:tc>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направленная на осуществление поддержки</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заявлений на получение разрешений</w:t>
            </w:r>
          </w:p>
        </w:tc>
        <w:tc>
          <w:tcPr>
            <w:tcW w:w="0" w:type="auto"/>
            <w:vMerge/>
            <w:tcBorders>
              <w:top w:val="nil"/>
              <w:left w:val="single" w:color="cfcfcf" w:sz="5"/>
              <w:bottom w:val="single" w:color="cfcfcf" w:sz="5"/>
              <w:right w:val="single" w:color="cfcfcf" w:sz="5"/>
            </w:tcBorders>
          </w:tcPr>
          <w:p/>
        </w:tc>
      </w:tr>
    </w:tbl>
    <w:bookmarkStart w:name="z26"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Критериям оценки степени   </w:t>
      </w:r>
      <w:r>
        <w:br/>
      </w:r>
      <w:r>
        <w:rPr>
          <w:rFonts w:ascii="Times New Roman"/>
          <w:b w:val="false"/>
          <w:i w:val="false"/>
          <w:color w:val="000000"/>
          <w:sz w:val="28"/>
        </w:rPr>
        <w:t xml:space="preserve">
риска в области защиты и   </w:t>
      </w:r>
      <w:r>
        <w:br/>
      </w:r>
      <w:r>
        <w:rPr>
          <w:rFonts w:ascii="Times New Roman"/>
          <w:b w:val="false"/>
          <w:i w:val="false"/>
          <w:color w:val="000000"/>
          <w:sz w:val="28"/>
        </w:rPr>
        <w:t xml:space="preserve">
поддержки субъектов     </w:t>
      </w:r>
      <w:r>
        <w:br/>
      </w:r>
      <w:r>
        <w:rPr>
          <w:rFonts w:ascii="Times New Roman"/>
          <w:b w:val="false"/>
          <w:i w:val="false"/>
          <w:color w:val="000000"/>
          <w:sz w:val="28"/>
        </w:rPr>
        <w:t xml:space="preserve">
частного предпринимательства </w:t>
      </w:r>
    </w:p>
    <w:bookmarkEnd w:id="7"/>
    <w:bookmarkStart w:name="z27" w:id="8"/>
    <w:p>
      <w:pPr>
        <w:spacing w:after="0"/>
        <w:ind w:left="0"/>
        <w:jc w:val="both"/>
      </w:pPr>
      <w:r>
        <w:rPr>
          <w:rFonts w:ascii="Times New Roman"/>
          <w:b w:val="false"/>
          <w:i w:val="false"/>
          <w:color w:val="000000"/>
          <w:sz w:val="28"/>
        </w:rPr>
        <w:t>
    </w:t>
      </w:r>
      <w:r>
        <w:rPr>
          <w:rFonts w:ascii="Times New Roman"/>
          <w:b/>
          <w:i w:val="false"/>
          <w:color w:val="000000"/>
          <w:sz w:val="28"/>
        </w:rPr>
        <w:t>Нарушения в области защиты и поддержки субъектов частного</w:t>
      </w:r>
      <w:r>
        <w:br/>
      </w:r>
      <w:r>
        <w:rPr>
          <w:rFonts w:ascii="Times New Roman"/>
          <w:b w:val="false"/>
          <w:i w:val="false"/>
          <w:color w:val="000000"/>
          <w:sz w:val="28"/>
        </w:rPr>
        <w:t>
                       </w:t>
      </w:r>
      <w:r>
        <w:rPr>
          <w:rFonts w:ascii="Times New Roman"/>
          <w:b/>
          <w:i w:val="false"/>
          <w:color w:val="000000"/>
          <w:sz w:val="28"/>
        </w:rPr>
        <w:t>предпринимательства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9065"/>
        <w:gridCol w:w="4437"/>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Нарушения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осуществления государственного контроля и надзора в сферах деятельности субъектов частного предпринимательства</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субъектов частного предпринимательства по степеням риска осуществляется без учета значимости субъекта с точки зрения тяжести последствий, отраслевой статистики нарушений требований, установленных законодательством Республики Казахстан в соответствии со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от 6 января 2011 года № 377-IV «О государственном контроле и надзоре в Республике Казахстан» (далее – Закон), а также без учета результатов внеплановых проверок</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критериев оценки степени риска в сфере частного предпринимательства, утвержденных совместным приказом органов контроля и надзора и уполномоченного органа по предпринимательству и опубликованных на официальном интернет-ресурсе государственного органа, за исключением случаев, предусмотренных </w:t>
            </w:r>
            <w:r>
              <w:rPr>
                <w:rFonts w:ascii="Times New Roman"/>
                <w:b w:val="false"/>
                <w:i w:val="false"/>
                <w:color w:val="000000"/>
                <w:sz w:val="20"/>
              </w:rPr>
              <w:t>Налоговым кодексом</w:t>
            </w:r>
            <w:r>
              <w:rPr>
                <w:rFonts w:ascii="Times New Roman"/>
                <w:b w:val="false"/>
                <w:i w:val="false"/>
                <w:color w:val="000000"/>
                <w:sz w:val="20"/>
              </w:rPr>
              <w:t xml:space="preserve">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форм обязательной ведомственной отчетности по вопросам проверок проверяемых субъектов в сфере частного предпринимательства, утвержденных совместным приказом органа контроля и надзора, уполномоченного органа по правовой статистике и специальным учетам и уполномоченного органа по предпринимательству</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ведение на постоянной и непрерывной основе ведомственного учета количества проверок субъектов частного предпринимательства, а также выявленных нарушений в соответствии с проверочными листами и принятых к ним мер административного воздействия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публикация сводных данных ведомственной отчетности по проверкам субъектов частного предпринимательства на официальном интернет-ресурсе государственного органа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форм проверочных листов в сфере частного предпринимательства, утвержденных совместным приказом органа контроля и надзора и уполномоченного органа по предпринимательству и опубликованных на официальном интернет-ресурсе государственного органа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плановых проверок в отношении конкретного субъекта частного предпринимательства не на основании плана проверок, утвержденного уполномоченным органом, в соответствии с системой оценки рисков и без учета установленных временных интервалов по отношению к предшествующим проверкам</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внеплановых проверок в отношении конкретного субъекта частного предпринимательства по основаниям, не предусмотренным </w:t>
            </w:r>
            <w:r>
              <w:rPr>
                <w:rFonts w:ascii="Times New Roman"/>
                <w:b w:val="false"/>
                <w:i w:val="false"/>
                <w:color w:val="000000"/>
                <w:sz w:val="20"/>
              </w:rPr>
              <w:t>пунктом 7</w:t>
            </w:r>
            <w:r>
              <w:rPr>
                <w:rFonts w:ascii="Times New Roman"/>
                <w:b w:val="false"/>
                <w:i w:val="false"/>
                <w:color w:val="000000"/>
                <w:sz w:val="20"/>
              </w:rPr>
              <w:t xml:space="preserve"> статьи 16 Закона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плановых и внеплановых проверок вне рабочее время субъекта частного предпринимательства, установленное правилами внутреннего трудового распорядка, за исключением внеплановых проверок, которые проводятся во внеурочное время (ночное, выходные или праздничные дни) в случаях необходимости пресечения нарушений непосредственно в момент их совершения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плановых проверок в отношении субъектов малого 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контроля и надзора, связанного с:</w:t>
            </w:r>
            <w:r>
              <w:br/>
            </w:r>
            <w:r>
              <w:rPr>
                <w:rFonts w:ascii="Times New Roman"/>
                <w:b w:val="false"/>
                <w:i w:val="false"/>
                <w:color w:val="000000"/>
                <w:sz w:val="20"/>
              </w:rPr>
              <w:t>
</w:t>
            </w:r>
            <w:r>
              <w:rPr>
                <w:rFonts w:ascii="Times New Roman"/>
                <w:b w:val="false"/>
                <w:i w:val="false"/>
                <w:color w:val="000000"/>
                <w:sz w:val="20"/>
              </w:rPr>
              <w:t>1) соблюдением установленных правил обращения и функционирования взрывчатых веществ;</w:t>
            </w:r>
            <w:r>
              <w:br/>
            </w:r>
            <w:r>
              <w:rPr>
                <w:rFonts w:ascii="Times New Roman"/>
                <w:b w:val="false"/>
                <w:i w:val="false"/>
                <w:color w:val="000000"/>
                <w:sz w:val="20"/>
              </w:rPr>
              <w:t>
</w:t>
            </w:r>
            <w:r>
              <w:rPr>
                <w:rFonts w:ascii="Times New Roman"/>
                <w:b w:val="false"/>
                <w:i w:val="false"/>
                <w:color w:val="000000"/>
                <w:sz w:val="20"/>
              </w:rPr>
              <w:t>2)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r>
              <w:br/>
            </w:r>
            <w:r>
              <w:rPr>
                <w:rFonts w:ascii="Times New Roman"/>
                <w:b w:val="false"/>
                <w:i w:val="false"/>
                <w:color w:val="000000"/>
                <w:sz w:val="20"/>
              </w:rPr>
              <w:t>
</w:t>
            </w:r>
            <w:r>
              <w:rPr>
                <w:rFonts w:ascii="Times New Roman"/>
                <w:b w:val="false"/>
                <w:i w:val="false"/>
                <w:color w:val="000000"/>
                <w:sz w:val="20"/>
              </w:rPr>
              <w:t>3) атомной энергией, радиоактивными веществами;</w:t>
            </w:r>
            <w:r>
              <w:br/>
            </w:r>
            <w:r>
              <w:rPr>
                <w:rFonts w:ascii="Times New Roman"/>
                <w:b w:val="false"/>
                <w:i w:val="false"/>
                <w:color w:val="000000"/>
                <w:sz w:val="20"/>
              </w:rPr>
              <w:t>
</w:t>
            </w:r>
            <w:r>
              <w:rPr>
                <w:rFonts w:ascii="Times New Roman"/>
                <w:b w:val="false"/>
                <w:i w:val="false"/>
                <w:color w:val="000000"/>
                <w:sz w:val="20"/>
              </w:rPr>
              <w:t>4) деятельностью физических и юридических лиц, занятых в области оборота ядов, вооружения, военной техники и отдельных видов оружия, взрывчатых и пиротехнических веществ и изделий с их применением</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внеплановых проверок по анонимным обращениям</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внеплановых проверок по фактам и обстоятельствам, выявленным в отношении неопределенных субъектов частного предпринимательства, которые не могли являться основанием для назначения внеплановой проверки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проверки без акта о назначении проверки, в том числе без указания в нем информации, предусмотренной </w:t>
            </w:r>
            <w:r>
              <w:rPr>
                <w:rFonts w:ascii="Times New Roman"/>
                <w:b w:val="false"/>
                <w:i w:val="false"/>
                <w:color w:val="000000"/>
                <w:sz w:val="20"/>
              </w:rPr>
              <w:t>пунктом 2</w:t>
            </w:r>
            <w:r>
              <w:rPr>
                <w:rFonts w:ascii="Times New Roman"/>
                <w:b w:val="false"/>
                <w:i w:val="false"/>
                <w:color w:val="000000"/>
                <w:sz w:val="20"/>
              </w:rPr>
              <w:t xml:space="preserve"> статьи 17 Закона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осуществление регистрации акта о назначении проверки до начала проверки в уполномоченном органе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субъекта частного предпринимательства, в том числе в электронном формате,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налоговой службы в соответствии с </w:t>
            </w:r>
            <w:r>
              <w:rPr>
                <w:rFonts w:ascii="Times New Roman"/>
                <w:b w:val="false"/>
                <w:i w:val="false"/>
                <w:color w:val="000000"/>
                <w:sz w:val="20"/>
              </w:rPr>
              <w:t>Налоговым кодексом</w:t>
            </w:r>
            <w:r>
              <w:rPr>
                <w:rFonts w:ascii="Times New Roman"/>
                <w:b w:val="false"/>
                <w:i w:val="false"/>
                <w:color w:val="000000"/>
                <w:sz w:val="20"/>
              </w:rPr>
              <w:t xml:space="preserve">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осуществление извещения в письменном виде субъекта частного предпринимательства о начале проведения плановой проверки не менее чем за тридцать календарных дней до начала самой проверки с указанием сроков и предмета проведения проверки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осуществление извещения субъекта частного предпринимательства о начале проведения внеплановой проверки не менее чем за сутки до начала самой проверки с указанием сроков и предмета проведения проверки, за исключением случаев, предусмотренных подпунктами 2), 3), 4), 7) и 8) </w:t>
            </w:r>
            <w:r>
              <w:rPr>
                <w:rFonts w:ascii="Times New Roman"/>
                <w:b w:val="false"/>
                <w:i w:val="false"/>
                <w:color w:val="000000"/>
                <w:sz w:val="20"/>
              </w:rPr>
              <w:t>пункта 7</w:t>
            </w:r>
            <w:r>
              <w:rPr>
                <w:rFonts w:ascii="Times New Roman"/>
                <w:b w:val="false"/>
                <w:i w:val="false"/>
                <w:color w:val="000000"/>
                <w:sz w:val="20"/>
              </w:rPr>
              <w:t xml:space="preserve">, </w:t>
            </w:r>
            <w:r>
              <w:rPr>
                <w:rFonts w:ascii="Times New Roman"/>
                <w:b w:val="false"/>
                <w:i w:val="false"/>
                <w:color w:val="000000"/>
                <w:sz w:val="20"/>
              </w:rPr>
              <w:t>пунктом 10</w:t>
            </w:r>
            <w:r>
              <w:rPr>
                <w:rFonts w:ascii="Times New Roman"/>
                <w:b w:val="false"/>
                <w:i w:val="false"/>
                <w:color w:val="000000"/>
                <w:sz w:val="20"/>
              </w:rPr>
              <w:t xml:space="preserve"> статьи 16 Закона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составление протокола в случае отказа субъектом частного предпринимательства в принятии акта о назначении проверки или воспрепятствования доступу должностного лица органа контроля и надзора, осуществляющего проверку, к материалам, необходимым для проведения проверки, подписанного должностным лицом органа контроля и надзора, осуществляющим проверку, и уполномоченным лицом субъекта частного предпринимательства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уведомления субъекта частного предпринимательства и органа по правовой статистике и специальным учетам в случаях замены состава должностных лиц, проводящих проверку, до начала участия в проверке лиц, не указанных в акте о назначении проверки, с указанием причины замены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проверок свыше тридцати рабочих дней, за исключением отдельных случаев при проведении налоговой проверки, предусмотренных налоговым законодательством Республики Казахстан, а также проверок, проводимых в области санитарно-эпидемиологического контроля, ветеринарии, карантина и защиты растений, семеноводства, зернового и хлопкового рынка, для которых с учетом отраслевой особенности установлены следующие сроки проведения проверок:</w:t>
            </w:r>
            <w:r>
              <w:br/>
            </w:r>
            <w:r>
              <w:rPr>
                <w:rFonts w:ascii="Times New Roman"/>
                <w:b w:val="false"/>
                <w:i w:val="false"/>
                <w:color w:val="000000"/>
                <w:sz w:val="20"/>
              </w:rPr>
              <w:t>
</w:t>
            </w:r>
            <w:r>
              <w:rPr>
                <w:rFonts w:ascii="Times New Roman"/>
                <w:b w:val="false"/>
                <w:i w:val="false"/>
                <w:color w:val="000000"/>
                <w:sz w:val="20"/>
              </w:rPr>
              <w:t>1) проверки в области санитарно-эпидемиологического контроля – до пятнадцати рабочих дней и с продлением до пятнадцати рабочих дней;</w:t>
            </w:r>
            <w:r>
              <w:br/>
            </w:r>
            <w:r>
              <w:rPr>
                <w:rFonts w:ascii="Times New Roman"/>
                <w:b w:val="false"/>
                <w:i w:val="false"/>
                <w:color w:val="000000"/>
                <w:sz w:val="20"/>
              </w:rPr>
              <w:t>
</w:t>
            </w:r>
            <w:r>
              <w:rPr>
                <w:rFonts w:ascii="Times New Roman"/>
                <w:b w:val="false"/>
                <w:i w:val="false"/>
                <w:color w:val="000000"/>
                <w:sz w:val="20"/>
              </w:rPr>
              <w:t>2)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продления проверки более одного раза руководителем органа контроля и надзора (либо лицом, его замещающим) на срок более тридцати рабочих дней в случаях необходимости проведения специальных исследований, испытаний, экспертиз, а также в связи со значительным объемом проверки, за исключением отдельных случаев при проведении налоговой проверки, предусмотренных налоговым законодательством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оформление дополнительного акта о продлении проверки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проверки и причины продления в случае продления сроков проверки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приостановления проведения проверки не в случаях необходимости получения сведений и документов от иностранных государств, имеющих существенное значение в рамках проводимой проверки, проведения специальных исследований, испытаний, экспертиз на срок свыше тридцати рабочих дней до их получения либо выполнения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осуществление уведомления субъекта частного предпринимательства о приостановлении либо возобновлении проверки за один день до приостановления либо возобновления проверки с уведомлением уполномоченного органа по правовой статистике и специальным учетам</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вынесение акта о приостановлении либо возобновлении проверки при приостановлении или возобновлении проверки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Допущение повторного проведения проверки субъекта частного предпринимательства, по которому проверка была приостановлена и не возобновлена в сроки, установленные </w:t>
            </w:r>
            <w:r>
              <w:rPr>
                <w:rFonts w:ascii="Times New Roman"/>
                <w:b w:val="false"/>
                <w:i w:val="false"/>
                <w:color w:val="000000"/>
                <w:sz w:val="20"/>
              </w:rPr>
              <w:t>статьей 20</w:t>
            </w:r>
            <w:r>
              <w:rPr>
                <w:rFonts w:ascii="Times New Roman"/>
                <w:b w:val="false"/>
                <w:i w:val="false"/>
                <w:color w:val="000000"/>
                <w:sz w:val="20"/>
              </w:rPr>
              <w:t xml:space="preserve"> Закона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произведение отбора образцов продукции должностным лицом органа контроля и надзора в присутствии руководителя или представителя субъекта частного предпринимательства и уполномоченного лица субъекта частного предпринимательства, удостоверенного актом отбора образцов продукции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указание в акте отбора образцов продукции информации, предусмотренной </w:t>
            </w:r>
            <w:r>
              <w:rPr>
                <w:rFonts w:ascii="Times New Roman"/>
                <w:b w:val="false"/>
                <w:i w:val="false"/>
                <w:color w:val="000000"/>
                <w:sz w:val="20"/>
              </w:rPr>
              <w:t>статьей 22</w:t>
            </w:r>
            <w:r>
              <w:rPr>
                <w:rFonts w:ascii="Times New Roman"/>
                <w:b w:val="false"/>
                <w:i w:val="false"/>
                <w:color w:val="000000"/>
                <w:sz w:val="20"/>
              </w:rPr>
              <w:t xml:space="preserve"> Закона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соблюдение ограничений при проведении проверок, предусмотренных </w:t>
            </w:r>
            <w:r>
              <w:rPr>
                <w:rFonts w:ascii="Times New Roman"/>
                <w:b w:val="false"/>
                <w:i w:val="false"/>
                <w:color w:val="000000"/>
                <w:sz w:val="20"/>
              </w:rPr>
              <w:t>статьей 23</w:t>
            </w:r>
            <w:r>
              <w:rPr>
                <w:rFonts w:ascii="Times New Roman"/>
                <w:b w:val="false"/>
                <w:i w:val="false"/>
                <w:color w:val="000000"/>
                <w:sz w:val="20"/>
              </w:rPr>
              <w:t xml:space="preserve"> Закона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составление акта о результатах проверки по результатам проверки с указанием в нем информации, предусмотренной </w:t>
            </w:r>
            <w:r>
              <w:rPr>
                <w:rFonts w:ascii="Times New Roman"/>
                <w:b w:val="false"/>
                <w:i w:val="false"/>
                <w:color w:val="000000"/>
                <w:sz w:val="20"/>
              </w:rPr>
              <w:t>пунктом 1</w:t>
            </w:r>
            <w:r>
              <w:rPr>
                <w:rFonts w:ascii="Times New Roman"/>
                <w:b w:val="false"/>
                <w:i w:val="false"/>
                <w:color w:val="000000"/>
                <w:sz w:val="20"/>
              </w:rPr>
              <w:t xml:space="preserve"> статьи 24 Закона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требований и обращение с просьбами, не относящимися к предмету проверки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проверяемым субъектом проверок по вопросам, не входящим в их компетенцию</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соблюдение должностными лицами органа контроля и надзора обязанностей при проведении контроля и надзора,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26 Закона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лицензирования или выдачи иных разрешительных документов, приема уведомления на осуществление предпринимательской деятельности или иных действий</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Требование от субъектов частного предпринимательства наличия разрешений или уведомлений, не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(далее – Закон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проверяемыми субъектами представления документов, прямо не предусмотренных нормативными правовыми актами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проверяемого субъекта на казахском и русском языках, за исключением информации, содержащей государственные секреты и иную охраняемую законом тайну</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соблюдение проверяемыми субъектами обязанностей,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21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разрешения на всей территории Республики Казахстан ограничивается в случаях, предусмотренных нормативными правовыми актами Республики Казахстан, юридическая сила которых ниже законов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разрешений осуществляется не на равных основаниях и условиях для всех лиц, отвечающих квалификационным или разрешительным требованиям</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осуществление проверяемым субъектом проверку на полноту представленных документов в течение двух рабочих дней с момента получения документов заявителя при лицензировании или осуществлении разрешительной процедуры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рассмотрении документов заявителя при лицензировании и осуществлении разрешительной процедуры не в случае установления факта не полноты представленных документов в сроки, предусмотренные </w:t>
            </w:r>
            <w:r>
              <w:rPr>
                <w:rFonts w:ascii="Times New Roman"/>
                <w:b w:val="false"/>
                <w:i w:val="false"/>
                <w:color w:val="000000"/>
                <w:sz w:val="20"/>
              </w:rPr>
              <w:t>пунктом 1</w:t>
            </w:r>
            <w:r>
              <w:rPr>
                <w:rFonts w:ascii="Times New Roman"/>
                <w:b w:val="false"/>
                <w:i w:val="false"/>
                <w:color w:val="000000"/>
                <w:sz w:val="20"/>
              </w:rPr>
              <w:t xml:space="preserve"> статьи 25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разрешительным органом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при осуществлении разрешительной процедуры осуществляется не в случаях, установленных законами, указами Президента Республики Казахстан или постановлениями Правительства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установленных законами, указами Президента Республики Казахстан или постановлениями Правительства Республики Казахстан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не осуществление запроса разрешительным органом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 если для разрешений второй категории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не предусмотрен иной срок</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осуществление выдачи проверяемым субъектом разрешения и (или) приложения к разрешению заявителю не позднее пяти рабочих дней с момента истечения срока его выдачи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если лицензиарами являются местные исполнительные органы или территориальные органы центрального государственного органа не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Требование от заявителей для получения лицензии и (или) приложения к лицензии предоставление иных документов, не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29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Требование от заявителей предоставления документов, предусмотренных подпунктами 2) - 5) </w:t>
            </w:r>
            <w:r>
              <w:rPr>
                <w:rFonts w:ascii="Times New Roman"/>
                <w:b w:val="false"/>
                <w:i w:val="false"/>
                <w:color w:val="000000"/>
                <w:sz w:val="20"/>
              </w:rPr>
              <w:t>пункта 3</w:t>
            </w:r>
            <w:r>
              <w:rPr>
                <w:rFonts w:ascii="Times New Roman"/>
                <w:b w:val="false"/>
                <w:i w:val="false"/>
                <w:color w:val="000000"/>
                <w:sz w:val="20"/>
              </w:rPr>
              <w:t xml:space="preserve"> статьи 29 Закона о разрешениях и уведомлениях, если информацию о таких документах лицензиар может получить из соответствующих государственных информационных систем</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Требование от заявителей предоставления иных документов при выдаче приложения к действительной лицензии в рамках вида деятельности или действия (операции), на которые имеется лицензия, за исключением документов, предусмотренных подпунктами 1) - 3) </w:t>
            </w:r>
            <w:r>
              <w:rPr>
                <w:rFonts w:ascii="Times New Roman"/>
                <w:b w:val="false"/>
                <w:i w:val="false"/>
                <w:color w:val="000000"/>
                <w:sz w:val="20"/>
              </w:rPr>
              <w:t>пункта 6</w:t>
            </w:r>
            <w:r>
              <w:rPr>
                <w:rFonts w:ascii="Times New Roman"/>
                <w:b w:val="false"/>
                <w:i w:val="false"/>
                <w:color w:val="000000"/>
                <w:sz w:val="20"/>
              </w:rPr>
              <w:t xml:space="preserve"> статьи 29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выдачи лицензии с ограничением срока его действия, если это не предусмотрено </w:t>
            </w:r>
            <w:r>
              <w:rPr>
                <w:rFonts w:ascii="Times New Roman"/>
                <w:b w:val="false"/>
                <w:i w:val="false"/>
                <w:color w:val="000000"/>
                <w:sz w:val="20"/>
              </w:rPr>
              <w:t>приложением 1</w:t>
            </w:r>
            <w:r>
              <w:rPr>
                <w:rFonts w:ascii="Times New Roman"/>
                <w:b w:val="false"/>
                <w:i w:val="false"/>
                <w:color w:val="000000"/>
                <w:sz w:val="20"/>
              </w:rPr>
              <w:t xml:space="preserve"> к Закону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выдачи лицензии и (или) приложения к лицензии либо мотивированного отказа в их выдаче позднее пятнадцати рабочих дней, за исключением лицензий и (или) приложений к лицензии в сфере использования атомной энергии, в финансовой сфере и деятельности, связанной с концентрацией финансовых ресурсов, образования, нефти и газа, которые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Взимание лицензионного сбора при выдаче приложений к лицензии (дубликатов приложений к лицензии)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Взимание лицензионного сбора при выдаче лицензий и (или) приложений к лицензии в случаях, предусмотренных  </w:t>
            </w:r>
            <w:r>
              <w:rPr>
                <w:rFonts w:ascii="Times New Roman"/>
                <w:b w:val="false"/>
                <w:i w:val="false"/>
                <w:color w:val="000000"/>
                <w:sz w:val="20"/>
              </w:rPr>
              <w:t>статьей 44</w:t>
            </w:r>
            <w:r>
              <w:rPr>
                <w:rFonts w:ascii="Times New Roman"/>
                <w:b w:val="false"/>
                <w:i w:val="false"/>
                <w:color w:val="000000"/>
                <w:sz w:val="20"/>
              </w:rPr>
              <w:t>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выдаче лицензии и (или) приложения к лицензии в случаях, не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32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переоформления лицензии и (или) приложения к лицензии в случаях, не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33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переоформлении лицензии и (или) приложения требование от заявителей предоставления иных документов, за исключением документов предусмотренных подпунктами 1) - 4) </w:t>
            </w:r>
            <w:r>
              <w:rPr>
                <w:rFonts w:ascii="Times New Roman"/>
                <w:b w:val="false"/>
                <w:i w:val="false"/>
                <w:color w:val="000000"/>
                <w:sz w:val="20"/>
              </w:rPr>
              <w:t>пункта 3</w:t>
            </w:r>
            <w:r>
              <w:rPr>
                <w:rFonts w:ascii="Times New Roman"/>
                <w:b w:val="false"/>
                <w:i w:val="false"/>
                <w:color w:val="000000"/>
                <w:sz w:val="20"/>
              </w:rPr>
              <w:t xml:space="preserve"> статьи 33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лицензиаром проверки соответствия заявителя квалификационным требованиям при переоформлении лицензии и (или) приложения, если иное не установлено законами Республики Казахстан, за исключением переоформления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переоформлении лицензии и (или) приложения к лицензии, инициированному по основаниям, предусмотренным подпунктами 1), 2), 4), 5), 6) </w:t>
            </w:r>
            <w:r>
              <w:rPr>
                <w:rFonts w:ascii="Times New Roman"/>
                <w:b w:val="false"/>
                <w:i w:val="false"/>
                <w:color w:val="000000"/>
                <w:sz w:val="20"/>
              </w:rPr>
              <w:t>пункта 1</w:t>
            </w:r>
            <w:r>
              <w:rPr>
                <w:rFonts w:ascii="Times New Roman"/>
                <w:b w:val="false"/>
                <w:i w:val="false"/>
                <w:color w:val="000000"/>
                <w:sz w:val="20"/>
              </w:rPr>
              <w:t xml:space="preserve"> статьи 33 Закона о разрешениях и уведомлениях, не в случае представления или надлежащего оформления заявителем документов, указанных в </w:t>
            </w:r>
            <w:r>
              <w:rPr>
                <w:rFonts w:ascii="Times New Roman"/>
                <w:b w:val="false"/>
                <w:i w:val="false"/>
                <w:color w:val="000000"/>
                <w:sz w:val="20"/>
              </w:rPr>
              <w:t>пункте 3</w:t>
            </w:r>
            <w:r>
              <w:rPr>
                <w:rFonts w:ascii="Times New Roman"/>
                <w:b w:val="false"/>
                <w:i w:val="false"/>
                <w:color w:val="000000"/>
                <w:sz w:val="20"/>
              </w:rPr>
              <w:t xml:space="preserve"> статьи 33 Закона о разрешениях и уведомлениях, а также не в случае соответствия заявителя квалификационным требованиям, если законами предусматривается необходимость такой проверки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оформления переоформленных лицензии и (или) приложения к лицензиям в электронной форме без соблюдения положений </w:t>
            </w:r>
            <w:r>
              <w:rPr>
                <w:rFonts w:ascii="Times New Roman"/>
                <w:b w:val="false"/>
                <w:i w:val="false"/>
                <w:color w:val="000000"/>
                <w:sz w:val="20"/>
              </w:rPr>
              <w:t>статьи 48</w:t>
            </w:r>
            <w:r>
              <w:rPr>
                <w:rFonts w:ascii="Times New Roman"/>
                <w:b w:val="false"/>
                <w:i w:val="false"/>
                <w:color w:val="000000"/>
                <w:sz w:val="20"/>
              </w:rPr>
              <w:t xml:space="preserve">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переоформления лицензии и (или) приложения к лицензии лицензиаром позднее трех рабочих дней с момента подачи документов,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33 Закона о разрешениях и уведомлениях, если иной срок не установлен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переоформления на вновь возникшее в результате слияния юридическое лицо нескольких юридических лиц-лицензиатов, имеющих лицензии на один и тот же вид (подвид) лицензируемой деятельности, нескольких лицензий и (или) приложений к лицензиям</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отказа в переоформлении лицензий и (или) приложений к лицензии, инициированным по основаниям, предусмотренным </w:t>
            </w:r>
            <w:r>
              <w:rPr>
                <w:rFonts w:ascii="Times New Roman"/>
                <w:b w:val="false"/>
                <w:i w:val="false"/>
                <w:color w:val="000000"/>
                <w:sz w:val="20"/>
              </w:rPr>
              <w:t>пунктом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 в случаях, не предусмотренных частью пять </w:t>
            </w:r>
            <w:r>
              <w:rPr>
                <w:rFonts w:ascii="Times New Roman"/>
                <w:b w:val="false"/>
                <w:i w:val="false"/>
                <w:color w:val="000000"/>
                <w:sz w:val="20"/>
              </w:rPr>
              <w:t>пункта 4</w:t>
            </w:r>
            <w:r>
              <w:rPr>
                <w:rFonts w:ascii="Times New Roman"/>
                <w:b w:val="false"/>
                <w:i w:val="false"/>
                <w:color w:val="000000"/>
                <w:sz w:val="20"/>
              </w:rPr>
              <w:t xml:space="preserve"> и частью пять </w:t>
            </w:r>
            <w:r>
              <w:rPr>
                <w:rFonts w:ascii="Times New Roman"/>
                <w:b w:val="false"/>
                <w:i w:val="false"/>
                <w:color w:val="000000"/>
                <w:sz w:val="20"/>
              </w:rPr>
              <w:t>пункта 5</w:t>
            </w:r>
            <w:r>
              <w:rPr>
                <w:rFonts w:ascii="Times New Roman"/>
                <w:b w:val="false"/>
                <w:i w:val="false"/>
                <w:color w:val="000000"/>
                <w:sz w:val="20"/>
              </w:rPr>
              <w:t xml:space="preserve"> статьи 34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соблюдение разрешительными органами положений </w:t>
            </w:r>
            <w:r>
              <w:rPr>
                <w:rFonts w:ascii="Times New Roman"/>
                <w:b w:val="false"/>
                <w:i w:val="false"/>
                <w:color w:val="000000"/>
                <w:sz w:val="20"/>
              </w:rPr>
              <w:t>пункта 6</w:t>
            </w:r>
            <w:r>
              <w:rPr>
                <w:rFonts w:ascii="Times New Roman"/>
                <w:b w:val="false"/>
                <w:i w:val="false"/>
                <w:color w:val="000000"/>
                <w:sz w:val="20"/>
              </w:rPr>
              <w:t xml:space="preserve"> статьи 34 Закона о разрешениях и уведомлениях при переоформлении лицензии и (или) приложения к лицензии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направление лицензиаром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 запроса в соответствующие государственные органы по месту осуществления заявителем деятельности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если это установлено законами Республики Казахстан, указами Президента Республики Казахстан или постановлениями Правительства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осуществление лицензиарами выдачи переоформленной лицензии (или) приложения к лицензии либо дачи мотивированного отказа в их переоформлении в течение сроков, установленных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прекращения действия лицензии и (или) приложения к лицензии в случаях, не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35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соблюдение разрешительными органами особых условий лицензирования отдельных видов деятельности, предусмотренных </w:t>
            </w:r>
            <w:r>
              <w:rPr>
                <w:rFonts w:ascii="Times New Roman"/>
                <w:b w:val="false"/>
                <w:i w:val="false"/>
                <w:color w:val="000000"/>
                <w:sz w:val="20"/>
              </w:rPr>
              <w:t>статьей 36</w:t>
            </w:r>
            <w:r>
              <w:rPr>
                <w:rFonts w:ascii="Times New Roman"/>
                <w:b w:val="false"/>
                <w:i w:val="false"/>
                <w:color w:val="000000"/>
                <w:sz w:val="20"/>
              </w:rPr>
              <w:t xml:space="preserve">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разрешительными органами общих положений о лицензировании в сфере экспорта и импорта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разрешительными органами предъявления разрешительных требований и требования предоставления перечня документов, необходимых для выдачи разрешений второй категории, не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разрешительным органом сроков выдачи разрешений второй категории, установленных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отказа в выдаче разрешения второй категории по основаниям, не предусмотренным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мотивированного отказа в выдаче заявителю разрешения второй категории с нарушением сроков, установленных для выдачи разрешения второй категории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прекращения действия разрешения второй категории в случаях и в порядке, не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позднее двух рабочих дней со дня подачи соответствующего заявления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позднее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приостановления действия разрешения и (или) приложения к разрешению в порядке и по основаниям, не предусмотренным законами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проверку устранения нарушений в порядке,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51 Закона о разрешениях и уведомлениях, позднее десяти рабочих дней со дня подачи заявителем заявления об устранении нарушений</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до момента истечения срока приостановления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лишения (отзыва) разрешения в порядке и (или) по основаниям, не предусмотренным законами Республики Казахстан, за исключением разрешений, выдаваемых уполномоченным органом в области развития агропромышленного комплекса, лишение (отзыв) которых осуществляется в порядке и (или) по основаниям, предусмотренным законодательством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соблюдение проверяемым субъектом </w:t>
            </w:r>
            <w:r>
              <w:rPr>
                <w:rFonts w:ascii="Times New Roman"/>
                <w:b w:val="false"/>
                <w:i w:val="false"/>
                <w:color w:val="000000"/>
                <w:sz w:val="20"/>
              </w:rPr>
              <w:t>пункта 5</w:t>
            </w:r>
            <w:r>
              <w:rPr>
                <w:rFonts w:ascii="Times New Roman"/>
                <w:b w:val="false"/>
                <w:i w:val="false"/>
                <w:color w:val="000000"/>
                <w:sz w:val="20"/>
              </w:rPr>
              <w:t xml:space="preserve"> статьи 46 Закона о разрешениях 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государственными органами, осуществляющими прием уведомлений, заявителям позднее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включение разрешительными органами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ведение разрешительными органами на постоянной основе государственного электронного реестра разрешений и уведомлений</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внесение проверяемыми субъектами соответствующих сведений в государственный электронный реестр разрешений и уведомлений, в случае приостановления деятельности или отдельных видов деятельности или действий (операций) физического или юридического лица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Осущестление проверяемым субъектом исключения уведомления из государственного электронного реестра разрешений и уведомлений не по заявлению заявителя, не по решению суда о запрещении деятельности или отдельных видов деятельности или действий физического или юридического лица, а также в иных случаях, не предусмотренных законами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осуществления государственной поддержки</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требований к субъектам частного предпринимательства при осуществлении государственной поддержки, не установленных на уровне указов Президента Республики Казахстан, законов Республики Казахстан, постановлений Правительства Республики Казахстан, актов местных представительных органов, Национального Банка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порядка (правил, условий) осуществления государственной поддержки субъектам частного предпринимательства, установленного указами Президента Республики Казахстан, законами Республики Казахстан, постановлениями Правительства Республики Казахстан, актами местных представительных органов, Национального Банка Республики Казахстан, в том числе:</w:t>
            </w:r>
            <w:r>
              <w:br/>
            </w:r>
            <w:r>
              <w:rPr>
                <w:rFonts w:ascii="Times New Roman"/>
                <w:b w:val="false"/>
                <w:i w:val="false"/>
                <w:color w:val="000000"/>
                <w:sz w:val="20"/>
              </w:rPr>
              <w:t>
</w:t>
            </w:r>
            <w:r>
              <w:rPr>
                <w:rFonts w:ascii="Times New Roman"/>
                <w:b w:val="false"/>
                <w:i w:val="false"/>
                <w:color w:val="000000"/>
                <w:sz w:val="20"/>
              </w:rPr>
              <w:t>- соответствия субъектов частного предпринимательства условиям, критериям программы государственной поддержи;</w:t>
            </w:r>
            <w:r>
              <w:br/>
            </w:r>
            <w:r>
              <w:rPr>
                <w:rFonts w:ascii="Times New Roman"/>
                <w:b w:val="false"/>
                <w:i w:val="false"/>
                <w:color w:val="000000"/>
                <w:sz w:val="20"/>
              </w:rPr>
              <w:t>
</w:t>
            </w:r>
            <w:r>
              <w:rPr>
                <w:rFonts w:ascii="Times New Roman"/>
                <w:b w:val="false"/>
                <w:i w:val="false"/>
                <w:color w:val="000000"/>
                <w:sz w:val="20"/>
              </w:rPr>
              <w:t>- соблюдения сроков рассмотрения заявлений субъектов частного предпринимательства;</w:t>
            </w:r>
            <w:r>
              <w:br/>
            </w:r>
            <w:r>
              <w:rPr>
                <w:rFonts w:ascii="Times New Roman"/>
                <w:b w:val="false"/>
                <w:i w:val="false"/>
                <w:color w:val="000000"/>
                <w:sz w:val="20"/>
              </w:rPr>
              <w:t>
</w:t>
            </w:r>
            <w:r>
              <w:rPr>
                <w:rFonts w:ascii="Times New Roman"/>
                <w:b w:val="false"/>
                <w:i w:val="false"/>
                <w:color w:val="000000"/>
                <w:sz w:val="20"/>
              </w:rPr>
              <w:t>- соблюдения сроков осуществление государственной поддержки;</w:t>
            </w:r>
            <w:r>
              <w:br/>
            </w:r>
            <w:r>
              <w:rPr>
                <w:rFonts w:ascii="Times New Roman"/>
                <w:b w:val="false"/>
                <w:i w:val="false"/>
                <w:color w:val="000000"/>
                <w:sz w:val="20"/>
              </w:rPr>
              <w:t>
</w:t>
            </w:r>
            <w:r>
              <w:rPr>
                <w:rFonts w:ascii="Times New Roman"/>
                <w:b w:val="false"/>
                <w:i w:val="false"/>
                <w:color w:val="000000"/>
                <w:sz w:val="20"/>
              </w:rPr>
              <w:t>- осуществления отказов в осуществлении государственной поддержки по основаниям, предусмотренным в законодательстве Республики Казахстан;</w:t>
            </w:r>
            <w:r>
              <w:br/>
            </w:r>
            <w:r>
              <w:rPr>
                <w:rFonts w:ascii="Times New Roman"/>
                <w:b w:val="false"/>
                <w:i w:val="false"/>
                <w:color w:val="000000"/>
                <w:sz w:val="20"/>
              </w:rPr>
              <w:t>
</w:t>
            </w:r>
            <w:r>
              <w:rPr>
                <w:rFonts w:ascii="Times New Roman"/>
                <w:b w:val="false"/>
                <w:i w:val="false"/>
                <w:color w:val="000000"/>
                <w:sz w:val="20"/>
              </w:rPr>
              <w:t>- правомерного осуществления государственной поддержки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финансовой поддержки субъектам частного предпринимательства, порядок и форма, которой не утверждены постановлением Правительства Республики Казахстан или иным нормативным правовым актам, юридическая сила которого ниже уровня постановления Правительства Республики Казахстан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