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f3c5" w14:textId="1caf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Аккольского районного маслихата от 26 сентября 2011 года № С 43-3 "Об утверждении Правил предоставления жилищной помощи малообеспеченным семьям (гражданам) проживающим в Аккольском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27 марта 2014 года № С 32-3. Зарегистрировано Департаментом юстиции Акмолинской области 18 апреля 2014 года № 4113. Утратило силу решением Аккольского районного маслихата Акмолинской области от 1 июля 2015 года № С 48-9</w:t>
      </w:r>
    </w:p>
    <w:p>
      <w:pPr>
        <w:spacing w:after="0"/>
        <w:ind w:left="0"/>
        <w:jc w:val="both"/>
      </w:pPr>
      <w:r>
        <w:rPr>
          <w:rFonts w:ascii="Times New Roman"/>
          <w:b w:val="false"/>
          <w:i w:val="false"/>
          <w:color w:val="ff0000"/>
          <w:sz w:val="28"/>
        </w:rPr>
        <w:t xml:space="preserve">      Сноска. Утратило силу решением Аккольского районного маслихата Акмолинской области от 01.07.2015 </w:t>
      </w:r>
      <w:r>
        <w:rPr>
          <w:rFonts w:ascii="Times New Roman"/>
          <w:b w:val="false"/>
          <w:i w:val="false"/>
          <w:color w:val="ff0000"/>
          <w:sz w:val="28"/>
        </w:rPr>
        <w:t>№ С 48-9</w:t>
      </w:r>
      <w:r>
        <w:rPr>
          <w:rFonts w:ascii="Times New Roman"/>
          <w:b w:val="false"/>
          <w:i w:val="false"/>
          <w:color w:val="ff0000"/>
          <w:sz w:val="28"/>
        </w:rPr>
        <w:t xml:space="preserve"> (вступает в силу и вводится в действие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Аккольский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«Об утверждении Правил предоставления жилищной помощи малообеспеченным семьям (гражданам) проживающим в Аккольском районе» от 26 сентября 2011 года № С 43–3 (зарегистрировано в Реестре государственной регистрации нормативных правовых актов № 1-3-163 и опубликовано 4 ноября 2011 года в районных газетах «Ақкөл өмірі» и «Знамя Родины KZ»)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малообеспеченным семьям (гражданам) проживающим в Аккольском районе: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Аккольского района на оплату:</w:t>
      </w:r>
      <w:r>
        <w:br/>
      </w:r>
      <w:r>
        <w:rPr>
          <w:rFonts w:ascii="Times New Roman"/>
          <w:b w:val="false"/>
          <w:i w:val="false"/>
          <w:color w:val="000000"/>
          <w:sz w:val="28"/>
        </w:rPr>
        <w:t>
</w:t>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«2.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 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
      Доля предельно допустимого уровня расходов семьи в месяц на расходы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устанавливаются к совокупному доходу семьи в размере 10 процентов.</w:t>
      </w:r>
      <w:r>
        <w:br/>
      </w:r>
      <w:r>
        <w:rPr>
          <w:rFonts w:ascii="Times New Roman"/>
          <w:b w:val="false"/>
          <w:i w:val="false"/>
          <w:color w:val="000000"/>
          <w:sz w:val="28"/>
        </w:rPr>
        <w:t>
</w:t>
      </w:r>
      <w:r>
        <w:rPr>
          <w:rFonts w:ascii="Times New Roman"/>
          <w:b w:val="false"/>
          <w:i w:val="false"/>
          <w:color w:val="000000"/>
          <w:sz w:val="28"/>
        </w:rPr>
        <w:t>
      Оплата содержания жилища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«6. Заявление об оказании жилищной помощи подается собственником, нанимателем (поднанимателем) жилья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w:t>
      </w:r>
      <w:r>
        <w:rPr>
          <w:rFonts w:ascii="Times New Roman"/>
          <w:b w:val="false"/>
          <w:i w:val="false"/>
          <w:color w:val="000000"/>
          <w:sz w:val="28"/>
        </w:rPr>
        <w:t>
      3) копию книги регистрации граждан либо адресную справку, либо справку сельских или аульных акимов, подтверждающих регистрацию по постоянному месту жительства заявителя;</w:t>
      </w:r>
      <w:r>
        <w:br/>
      </w:r>
      <w:r>
        <w:rPr>
          <w:rFonts w:ascii="Times New Roman"/>
          <w:b w:val="false"/>
          <w:i w:val="false"/>
          <w:color w:val="000000"/>
          <w:sz w:val="28"/>
        </w:rPr>
        <w:t>
</w:t>
      </w:r>
      <w:r>
        <w:rPr>
          <w:rFonts w:ascii="Times New Roman"/>
          <w:b w:val="false"/>
          <w:i w:val="false"/>
          <w:color w:val="000000"/>
          <w:sz w:val="28"/>
        </w:rPr>
        <w:t>
      4) документов, подтверждающих доходы членов семьи за предыдущий квартал;</w:t>
      </w:r>
      <w:r>
        <w:br/>
      </w:r>
      <w:r>
        <w:rPr>
          <w:rFonts w:ascii="Times New Roman"/>
          <w:b w:val="false"/>
          <w:i w:val="false"/>
          <w:color w:val="000000"/>
          <w:sz w:val="28"/>
        </w:rPr>
        <w:t>
</w:t>
      </w:r>
      <w:r>
        <w:rPr>
          <w:rFonts w:ascii="Times New Roman"/>
          <w:b w:val="false"/>
          <w:i w:val="false"/>
          <w:color w:val="000000"/>
          <w:sz w:val="28"/>
        </w:rPr>
        <w:t>
      5) квитанции-счета за услуги телекоммуникаций или копии договора на оказание услуг связи (абоненту городской сети телекоммуникаций);</w:t>
      </w:r>
      <w:r>
        <w:br/>
      </w:r>
      <w:r>
        <w:rPr>
          <w:rFonts w:ascii="Times New Roman"/>
          <w:b w:val="false"/>
          <w:i w:val="false"/>
          <w:color w:val="000000"/>
          <w:sz w:val="28"/>
        </w:rPr>
        <w:t>
</w:t>
      </w:r>
      <w:r>
        <w:rPr>
          <w:rFonts w:ascii="Times New Roman"/>
          <w:b w:val="false"/>
          <w:i w:val="false"/>
          <w:color w:val="000000"/>
          <w:sz w:val="28"/>
        </w:rPr>
        <w:t>
      6) счетов (квитанций) об оплате за коммунальные услуги за предыдущий квартал, при центральном отоплении - копии договора на предоставление услуг по отоплению на текущий отопительный сезон;</w:t>
      </w:r>
      <w:r>
        <w:br/>
      </w:r>
      <w:r>
        <w:rPr>
          <w:rFonts w:ascii="Times New Roman"/>
          <w:b w:val="false"/>
          <w:i w:val="false"/>
          <w:color w:val="000000"/>
          <w:sz w:val="28"/>
        </w:rPr>
        <w:t>
</w:t>
      </w:r>
      <w:r>
        <w:rPr>
          <w:rFonts w:ascii="Times New Roman"/>
          <w:b w:val="false"/>
          <w:i w:val="false"/>
          <w:color w:val="000000"/>
          <w:sz w:val="28"/>
        </w:rPr>
        <w:t>
      7) счета о размере целевого взноса на капитальный ремонт общего имущества объекта кондоминиума (семьям, имеющим право на компенсацию за капитальный ремонт общего имущества кондоминиума);</w:t>
      </w:r>
      <w:r>
        <w:br/>
      </w:r>
      <w:r>
        <w:rPr>
          <w:rFonts w:ascii="Times New Roman"/>
          <w:b w:val="false"/>
          <w:i w:val="false"/>
          <w:color w:val="000000"/>
          <w:sz w:val="28"/>
        </w:rPr>
        <w:t>
</w:t>
      </w:r>
      <w:r>
        <w:rPr>
          <w:rFonts w:ascii="Times New Roman"/>
          <w:b w:val="false"/>
          <w:i w:val="false"/>
          <w:color w:val="000000"/>
          <w:sz w:val="28"/>
        </w:rPr>
        <w:t>
      8) счета о размере ежемесячных взносов на накопление средств на расходы по содержанию жилого дома (жилого здания),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заверенной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9) счета о размере арендной платы за пользование жилищем, предоставляемого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Документы предоставляются в копиях и подлинниках.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 Аккольского</w:t>
      </w:r>
      <w:r>
        <w:br/>
      </w:r>
      <w:r>
        <w:rPr>
          <w:rFonts w:ascii="Times New Roman"/>
          <w:b w:val="false"/>
          <w:i w:val="false"/>
          <w:color w:val="000000"/>
          <w:sz w:val="28"/>
        </w:rPr>
        <w:t>
</w:t>
      </w:r>
      <w:r>
        <w:rPr>
          <w:rFonts w:ascii="Times New Roman"/>
          <w:b w:val="false"/>
          <w:i/>
          <w:color w:val="000000"/>
          <w:sz w:val="28"/>
        </w:rPr>
        <w:t>      районного маслихата                        О.Бертлеуов</w:t>
      </w:r>
    </w:p>
    <w:p>
      <w:pPr>
        <w:spacing w:after="0"/>
        <w:ind w:left="0"/>
        <w:jc w:val="both"/>
      </w:pPr>
      <w:r>
        <w:rPr>
          <w:rFonts w:ascii="Times New Roman"/>
          <w:b w:val="false"/>
          <w:i/>
          <w:color w:val="000000"/>
          <w:sz w:val="28"/>
        </w:rPr>
        <w:t>      Секретарь Аккольского</w:t>
      </w:r>
      <w:r>
        <w:br/>
      </w:r>
      <w:r>
        <w:rPr>
          <w:rFonts w:ascii="Times New Roman"/>
          <w:b w:val="false"/>
          <w:i w:val="false"/>
          <w:color w:val="000000"/>
          <w:sz w:val="28"/>
        </w:rPr>
        <w:t>
</w:t>
      </w:r>
      <w:r>
        <w:rPr>
          <w:rFonts w:ascii="Times New Roman"/>
          <w:b w:val="false"/>
          <w:i/>
          <w:color w:val="000000"/>
          <w:sz w:val="28"/>
        </w:rPr>
        <w:t>      районного маслихата                        Д.Салыбекова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Аккольского района                    Т.К.Едигенов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