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3738" w14:textId="a083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Аккольского районного маслихата от 26 сентября 2011 года № С 43-3 "Об утверждении Правил предоставления жилищной помощи малообеспеченным семьям (гражданам) проживающим в Аккольском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21 августа 2014 года № С 39-5. Зарегистрировано Департаментом юстиции Акмолинской области 16 сентября 2014 года № 4350. Утратило силу решением Аккольского районного маслихата Акмолинской области от 25 февраля 2015 года № С 44-4</w:t>
      </w:r>
    </w:p>
    <w:p>
      <w:pPr>
        <w:spacing w:after="0"/>
        <w:ind w:left="0"/>
        <w:jc w:val="both"/>
      </w:pPr>
      <w:r>
        <w:rPr>
          <w:rFonts w:ascii="Times New Roman"/>
          <w:b w:val="false"/>
          <w:i w:val="false"/>
          <w:color w:val="ff0000"/>
          <w:sz w:val="28"/>
        </w:rPr>
        <w:t>      Сноска. Утратило силу решением Аккольского районного маслихата Акмолинской области от 25.02.2015 № С 44-4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Аккольский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26 сентября 2011 года № С 43-3 «Об утверждении Правил предоставления жилищной помощи малообеспеченным семьям (гражданам) проживающим в Аккольском районе» (зарегистрировано в Реестре государственной регистрации нормативных правовых актов № 1-3-163 и опубликовано 4 ноября 2011 года в районных газетах «Ақкөл өмірі» и «Знамя Родины KZ»)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проживающим в Аккольском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«Площадь жилья, обеспечиваемая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Компенсационные нормы возмещения коммунальных услуг устанавливаются исходя из фактического потребления, но не более предельных величин: газоснабжения в размере 4 килограммов на человека, но не более 16 килограммов или 2 баллонов на семью в месяц, водоснабжения и канализации не более 2,5 кубических метров в месяц на человека, полив приусадебного участка не более 3 кубических метров на сотку в месяц, электроснабжения по показаниям счетчика, но не более 100 киловатт на человека и 250 киловатт на семью в месяц.</w:t>
      </w:r>
      <w:r>
        <w:br/>
      </w:r>
      <w:r>
        <w:rPr>
          <w:rFonts w:ascii="Times New Roman"/>
          <w:b w:val="false"/>
          <w:i w:val="false"/>
          <w:color w:val="000000"/>
          <w:sz w:val="28"/>
        </w:rPr>
        <w:t>
      Компенсационные нормы на потребление твердого топлива для жилища с местным отоплением установить в размере 83 килограмма на 1 квадратный метр полезной площади (на отопительный сезон с октября по апрель месяцы), но не более 5 тонн на семью. Стоимость угля принимать усредненную по данным статистики, сложившуюся за предыдущий квартал.</w:t>
      </w:r>
      <w:r>
        <w:br/>
      </w:r>
      <w:r>
        <w:rPr>
          <w:rFonts w:ascii="Times New Roman"/>
          <w:b w:val="false"/>
          <w:i w:val="false"/>
          <w:color w:val="000000"/>
          <w:sz w:val="28"/>
        </w:rPr>
        <w:t>
      В связи с сезонностью закупки угля, расходы на твердое топливо в пределах компенсационных норм, при начислении жилищной помощи учитывать раз в год за три месяца в квартал обращения в период отопительного сезона при предоставлении счета (квитанции), подтверждающего факт приобретения топлива.</w:t>
      </w:r>
      <w:r>
        <w:br/>
      </w:r>
      <w:r>
        <w:rPr>
          <w:rFonts w:ascii="Times New Roman"/>
          <w:b w:val="false"/>
          <w:i w:val="false"/>
          <w:color w:val="000000"/>
          <w:sz w:val="28"/>
        </w:rPr>
        <w:t>
      Норму расхода и стоимость другого вида топлива, используемого для местного отопления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«Заявление об оказании жилищной помощи по установленной форме подается собственником, нанимателем (поднанимателем) жилья (либо его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 или веб-портал «электронного правительства».</w:t>
      </w:r>
      <w:r>
        <w:br/>
      </w:r>
      <w:r>
        <w:rPr>
          <w:rFonts w:ascii="Times New Roman"/>
          <w:b w:val="false"/>
          <w:i w:val="false"/>
          <w:color w:val="000000"/>
          <w:sz w:val="28"/>
        </w:rPr>
        <w:t>
      Перечень необходимых документов определяется пунктом 9 раздела 2 стандарта государственной услуги «Назначение жилищной помощи», утвержденного постановлением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«Начисление жилищной помощи производится ежеквартально на текущий квартал, при этом доходы семьи и расходы за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«Жилищная помощь назначается малообеспеченным семьям (гражданам), за исключением семей (граждан), трудоспособные члены которых, не работают, не учатся и не зарегистрированы как безработные в уполномоченном органе по вопросу занятости, за исключением инвалидов, лиц, осуществляющих уход за инвалидами, признанными нуждающимися в уходе, детьми в возрасте до трех лет, лицами старше восьмидесяти лет, а также получателей специального государственного пособия по спискам № 1 и № 2, утвержденным постановлением Правительства Республики Казахстан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 Списка № 2 производств, работ, профессий, должностей и показателей на работах с вредными и тяжелыми условиями труда» от 19 декабря 1999 года № 1930.»;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«Жилищная помощь не назначается в случае предоставления заявителем неполных, недостоверных сведений, при наличии ошибок в оформлении документов, которые повлекут некорректный расчет размера жилищной помощи. Незаконно полученные средства подлежат возмещению в бюджет. В случае возникновения изменений (формы собственности жилья, состава семьи) заявитель информирует уполномоченный орган в течение десяти календарных дней со дня возникновения изменений.».</w:t>
      </w:r>
      <w:r>
        <w:br/>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Аккольского</w:t>
      </w:r>
      <w:r>
        <w:br/>
      </w:r>
      <w:r>
        <w:rPr>
          <w:rFonts w:ascii="Times New Roman"/>
          <w:b w:val="false"/>
          <w:i w:val="false"/>
          <w:color w:val="000000"/>
          <w:sz w:val="28"/>
        </w:rPr>
        <w:t>
</w:t>
      </w:r>
      <w:r>
        <w:rPr>
          <w:rFonts w:ascii="Times New Roman"/>
          <w:b w:val="false"/>
          <w:i/>
          <w:color w:val="000000"/>
          <w:sz w:val="28"/>
        </w:rPr>
        <w:t>      районного маслихата                        А.Тимошин</w:t>
      </w:r>
    </w:p>
    <w:p>
      <w:pPr>
        <w:spacing w:after="0"/>
        <w:ind w:left="0"/>
        <w:jc w:val="both"/>
      </w:pPr>
      <w:r>
        <w:rPr>
          <w:rFonts w:ascii="Times New Roman"/>
          <w:b w:val="false"/>
          <w:i/>
          <w:color w:val="000000"/>
          <w:sz w:val="28"/>
        </w:rPr>
        <w:t>      Секретарь Аккольского</w:t>
      </w:r>
      <w:r>
        <w:br/>
      </w:r>
      <w:r>
        <w:rPr>
          <w:rFonts w:ascii="Times New Roman"/>
          <w:b w:val="false"/>
          <w:i w:val="false"/>
          <w:color w:val="000000"/>
          <w:sz w:val="28"/>
        </w:rPr>
        <w:t>
</w:t>
      </w:r>
      <w:r>
        <w:rPr>
          <w:rFonts w:ascii="Times New Roman"/>
          <w:b w:val="false"/>
          <w:i/>
          <w:color w:val="000000"/>
          <w:sz w:val="28"/>
        </w:rPr>
        <w:t>      районного маслихата                        Д.Салыбекова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Аккольского района                    Т.К.Едигенов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