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92c1" w14:textId="b909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28 августа 2014 года № а-6/248. Зарегистрировано Департаментом юстиции Акмолинской области 3 октября 2014 года № 4384. Утратило силу постановлением акимата Енбекшильдерского района Акмолинской области от 27 мая 2015 года № а-5/106.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Енбекшильдерского района Акмолинской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а-5/106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Шауенова С.Ж.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А.Садуақасұлы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а-6/248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коэффициент, учитывающий тип строения;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 – коэффициент, учитывающий вид нежилого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коэффициент, учитывающий степень комфортности;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коэффициент, учитывающий территориальное расположение;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Квд – коэффициент, учитывающий вид деятельности нанимателя;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Копф – коэффициент, учитывающий организационно-правовую форму нанимателя.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других, непотребляемых вещей осуществляется по формуле: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С х Nam/100 х Кп,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оборудование, транспортные средства и другие, непотребляемые вещи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остаточная стоимость оборудования по данным бухгалтерского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Nam –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понижающий коэффициент (применяется при износе оборудования, транспортных средств и других непотребляемых вещей более 60 процентов –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– в размере 0,5).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Ач = Ап/12/Д/24,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 (аренду).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коэффициентов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тип строения (Кт):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офисное, административное, общественное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предназначенное для нужд сельского хозяйства, производственное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складское, гаражное, котельное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нежилого помещения (Кк)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здание или помещение в здании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пристроенная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цокольная (полуподвальная)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подвальная часть, крыша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степень комфортности (Кск)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территориальное расположение (Кр)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город, поселок (районный центр)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село, поселок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деятельности нанимателя (Квд):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для организации общественного питания, гостиничных услуг, торговой или торгово-посреднической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для организации услуг в области: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дошкольного воспитания и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высшего, технического и профессионального образования;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для организации услуг в области здравоохранения, культуры, туризма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(розничной торговлей)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для организации питания и буфетов в помещениях в которых располагаются государственные юридические лица, с графиком работы не превышающим графики работ данных учреждений и предприятий (розничной торговлей)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 для предоставления услуг в сфере почтовой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 для прочих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организационно-правовую форму нанимателя (Копф):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для некоммерческих организаций (кроме неправительственных 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для неправительственных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для прочих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