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d4e8" w14:textId="552d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Жаркаинского районного маслихата от 15 января 2013 года № 5С-15/2 "О дополнительном регламентировании порядка проведения мирных собраний, митингов, шествий, пикетов и демонстраций в Жаркаинском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17 марта 2014 года № 5С-32/4. Зарегистрировано Департаментом юстиции Акмолинской области 15 апреля 2014 года № 4107. Утратило силу решением Жаркаинского районного маслиахата Акмолинской области от 27 октября 2014 года № 5С-37/6</w:t>
      </w:r>
    </w:p>
    <w:p>
      <w:pPr>
        <w:spacing w:after="0"/>
        <w:ind w:left="0"/>
        <w:jc w:val="both"/>
      </w:pPr>
      <w:r>
        <w:rPr>
          <w:rFonts w:ascii="Times New Roman"/>
          <w:b w:val="false"/>
          <w:i w:val="false"/>
          <w:color w:val="ff0000"/>
          <w:sz w:val="28"/>
        </w:rPr>
        <w:t>      Сноска. Утратило силу решением Жаркаинского районного маслихата Акмолинской области от 27.10.2014 № 5С-37/6 (вступает в силу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Жаркаинский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дополнительном регламентировании порядка проведения мирных собраний, митингов, шествий, пикетов и демонстраций в Жаркаинском районе» от 15 января 2013 года № 5С-15/2 (зарегистрировано в Реестре государственной регистрации нормативных правовых актов № 3661, опубликовано 1 марта 2013 года в районной газете «Целинное знамя»)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r>
        <w:br/>
      </w:r>
      <w:r>
        <w:rPr>
          <w:rFonts w:ascii="Times New Roman"/>
          <w:b w:val="false"/>
          <w:i w:val="false"/>
          <w:color w:val="000000"/>
          <w:sz w:val="28"/>
        </w:rPr>
        <w:t>
</w:t>
      </w:r>
      <w:r>
        <w:rPr>
          <w:rFonts w:ascii="Times New Roman"/>
          <w:b w:val="false"/>
          <w:i w:val="false"/>
          <w:color w:val="000000"/>
          <w:sz w:val="28"/>
        </w:rPr>
        <w:t>
      в строках, порядковые номера 1, 3, 4, 9, 10, 15, 16, 17, 18, 19, 20, слова «Бирсуатского сельского округа», «Гастелловского сельского округа», «Далабайского сельского округа», «Кумсуатского сельского округа», «Львовского селького округа», «Пригородного сельского округа», «Пятигорского сельского округа», «Тасоткельского сельского округа», «Тассуатского сельского округа», «Ушкарасуского сельского округа», «Шойындыкольского сельского округа» соответственно исключить;</w:t>
      </w:r>
      <w:r>
        <w:br/>
      </w:r>
      <w:r>
        <w:rPr>
          <w:rFonts w:ascii="Times New Roman"/>
          <w:b w:val="false"/>
          <w:i w:val="false"/>
          <w:color w:val="000000"/>
          <w:sz w:val="28"/>
        </w:rPr>
        <w:t>
</w:t>
      </w:r>
      <w:r>
        <w:rPr>
          <w:rFonts w:ascii="Times New Roman"/>
          <w:b w:val="false"/>
          <w:i w:val="false"/>
          <w:color w:val="000000"/>
          <w:sz w:val="28"/>
        </w:rPr>
        <w:t>
      в строке, порядковый номер 7, слова «Костычевского округа» заменить словами «Костычевского сельского округа».</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Н.Рахимов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У.Ахметова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Жаркаинского района                   А.Уисимбаев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