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d6ec" w14:textId="748d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Целиноградского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Целиноградского районного маслихата Акмолинской области от 14 марта 2014 года № 196/27-5. Зарегистрировано Департаментом юстиции Акмолинской области 15 апреля 2014 года № 4106. Утратило силу решением Целиноградского районного маслихата Акмолинской области от 23 ноября 2016 года № 71/8-6</w:t>
      </w:r>
    </w:p>
    <w:p>
      <w:pPr>
        <w:spacing w:after="0"/>
        <w:ind w:left="0"/>
        <w:jc w:val="left"/>
      </w:pPr>
      <w:r>
        <w:rPr>
          <w:rFonts w:ascii="Times New Roman"/>
          <w:b w:val="false"/>
          <w:i w:val="false"/>
          <w:color w:val="ff0000"/>
          <w:sz w:val="28"/>
        </w:rPr>
        <w:t xml:space="preserve">      Сноска. Утратило силу решением Целиноградского районного маслихата Акмолинской области от 23.11.2016 </w:t>
      </w:r>
      <w:r>
        <w:rPr>
          <w:rFonts w:ascii="Times New Roman"/>
          <w:b w:val="false"/>
          <w:i w:val="false"/>
          <w:color w:val="ff0000"/>
          <w:sz w:val="28"/>
        </w:rPr>
        <w:t>№ 71/8-6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Целиноградский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Целиноградского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Целиноградского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М.Байшолаков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Целиноградского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Р.Тулькубаев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Целиноградского районного маслихата</w:t>
            </w:r>
            <w:r>
              <w:br/>
            </w:r>
            <w:r>
              <w:rPr>
                <w:rFonts w:ascii="Times New Roman"/>
                <w:b w:val="false"/>
                <w:i w:val="false"/>
                <w:color w:val="000000"/>
                <w:sz w:val="20"/>
              </w:rPr>
              <w:t>от 14 марта 2014 года № 196/27-5</w:t>
            </w:r>
          </w:p>
        </w:tc>
      </w:tr>
    </w:tbl>
    <w:bookmarkStart w:name="z5" w:id="0"/>
    <w:p>
      <w:pPr>
        <w:spacing w:after="0"/>
        <w:ind w:left="0"/>
        <w:jc w:val="left"/>
      </w:pPr>
      <w:r>
        <w:rPr>
          <w:rFonts w:ascii="Times New Roman"/>
          <w:b/>
          <w:i w:val="false"/>
          <w:color w:val="000000"/>
        </w:rPr>
        <w:t xml:space="preserve"> Регламент Целиноградского районного маслихата</w:t>
      </w:r>
    </w:p>
    <w:bookmarkEnd w:id="0"/>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Целиноградского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Целиноградского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районный маслихат, а также акима района.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сохранением ему заработной платы по месту основной работы.</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Целиноградского районного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районного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района и его заместители,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районных газет "Ақмол ақпараты", "Вести Акмола" и иных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районного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2.2. Порядок принятия актов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акима района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Решения районного маслихата, имеющие общеобязательное значение, касающиеся прав, свобод и обязанностей граждан, подлежат государственной регистрации в Департаменте юстиции Акмолинской области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содокладе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Целиноградского района рассматривается в постоянных комиссиях маслихата. Секретарь районного маслихата создает временную рабочую депутатскую группу по рассмотрению проекта бюджета, в состав которой могут быть включены работники аппарата районного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Целиноградского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Целиноградского района.</w:t>
      </w:r>
      <w:r>
        <w:br/>
      </w:r>
      <w:r>
        <w:rPr>
          <w:rFonts w:ascii="Times New Roman"/>
          <w:b w:val="false"/>
          <w:i w:val="false"/>
          <w:color w:val="000000"/>
          <w:sz w:val="28"/>
        </w:rPr>
        <w:t>
      </w:t>
      </w:r>
      <w:r>
        <w:rPr>
          <w:rFonts w:ascii="Times New Roman"/>
          <w:b w:val="false"/>
          <w:i w:val="false"/>
          <w:color w:val="000000"/>
          <w:sz w:val="28"/>
        </w:rPr>
        <w:t>Государственное учреждение "Отдел экономики и финансов Целиноградского района" не позднее чем за две недели до начала сессии представляет председателю сессии, секретарю маслихата окончательный вариант проекта решения о районном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Районный бюджет утверждается на сессии районного маслихата не позднее двухнедельного срока после подписания решения Акмолинского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3. Порядок заслушивания отчетов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31. Маслихат осуществляет контроль за исполнением районного бюджета, программ развития территорий путем заслушивания отчетов акима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 xml:space="preserve">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 Двукратное неутверждение маслихатом представленных акимом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секретаря маслихата, председателей постоянных комиссий и иных органов маслихата. Секретарь районного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 ревизионной комиссии Акмолинской области об исполнении районного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Районный маслихат не реже одного раза в год отчитывается перед населением о проделанной работе маслихата, деятельности его постоянных комиссий в районных газетах "Ақмол ақпараты", "Вести Акмола". Отчет маслихата представляется населению сел,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4. Порядок рассмотрения запросов депутатов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36.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83" w:id="6"/>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6"/>
    <w:bookmarkStart w:name="z84" w:id="7"/>
    <w:p>
      <w:pPr>
        <w:spacing w:after="0"/>
        <w:ind w:left="0"/>
        <w:jc w:val="left"/>
      </w:pPr>
      <w:r>
        <w:rPr>
          <w:rFonts w:ascii="Times New Roman"/>
          <w:b/>
          <w:i w:val="false"/>
          <w:color w:val="000000"/>
        </w:rPr>
        <w:t xml:space="preserve"> 5.1. Председатель сессии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96" w:id="8"/>
    <w:p>
      <w:pPr>
        <w:spacing w:after="0"/>
        <w:ind w:left="0"/>
        <w:jc w:val="left"/>
      </w:pPr>
      <w:r>
        <w:rPr>
          <w:rFonts w:ascii="Times New Roman"/>
          <w:b/>
          <w:i w:val="false"/>
          <w:color w:val="000000"/>
        </w:rPr>
        <w:t xml:space="preserve"> 5.2. Секретарь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03" w:id="9"/>
    <w:p>
      <w:pPr>
        <w:spacing w:after="0"/>
        <w:ind w:left="0"/>
        <w:jc w:val="left"/>
      </w:pPr>
      <w:r>
        <w:rPr>
          <w:rFonts w:ascii="Times New Roman"/>
          <w:b/>
          <w:i w:val="false"/>
          <w:color w:val="000000"/>
        </w:rPr>
        <w:t xml:space="preserve"> 5.3. Постоянные и временные комиссии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районные газеты "Ақмол ақпараты", "Вести Акмола"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21" w:id="10"/>
    <w:p>
      <w:pPr>
        <w:spacing w:after="0"/>
        <w:ind w:left="0"/>
        <w:jc w:val="left"/>
      </w:pPr>
      <w:r>
        <w:rPr>
          <w:rFonts w:ascii="Times New Roman"/>
          <w:b/>
          <w:i w:val="false"/>
          <w:color w:val="000000"/>
        </w:rPr>
        <w:t xml:space="preserve"> 5.4. Редакционная и счетная комиссия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районного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районного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28" w:id="11"/>
    <w:p>
      <w:pPr>
        <w:spacing w:after="0"/>
        <w:ind w:left="0"/>
        <w:jc w:val="left"/>
      </w:pPr>
      <w:r>
        <w:rPr>
          <w:rFonts w:ascii="Times New Roman"/>
          <w:b/>
          <w:i w:val="false"/>
          <w:color w:val="000000"/>
        </w:rPr>
        <w:t xml:space="preserve"> 5.5. Депутатские объединения в маслихате</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37" w:id="12"/>
    <w:p>
      <w:pPr>
        <w:spacing w:after="0"/>
        <w:ind w:left="0"/>
        <w:jc w:val="left"/>
      </w:pPr>
      <w:r>
        <w:rPr>
          <w:rFonts w:ascii="Times New Roman"/>
          <w:b/>
          <w:i w:val="false"/>
          <w:color w:val="000000"/>
        </w:rPr>
        <w:t xml:space="preserve"> 6. Депутатская этика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59.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49" w:id="13"/>
    <w:p>
      <w:pPr>
        <w:spacing w:after="0"/>
        <w:ind w:left="0"/>
        <w:jc w:val="left"/>
      </w:pPr>
      <w:r>
        <w:rPr>
          <w:rFonts w:ascii="Times New Roman"/>
          <w:b/>
          <w:i w:val="false"/>
          <w:color w:val="000000"/>
        </w:rPr>
        <w:t xml:space="preserve"> 7. Организация работы аппарата маслихата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