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ffff" w14:textId="027f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апреля 2014 года № 97. Зарегистрировано Департаментом юстиции Актюбинской области 6 мая 2014 года № 3889. Утратило силу постановлением акимата Актюбинской области от 14 мая 2015 года №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14.05.2015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"Об утверждении стандартов государственных услуг в области архивного дела"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культуры, архивов и документации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"Об утверждении стандартов государственных услуг в области архивного дела".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97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архивных справок" (далее – государственная услуга) оказывается коммунальным государственным учреждением "Государственный архив Актюбинской области", его филиалами и районными государственными архивами (далее – услугодатель), а также через центры обслуживания населения (далее – ЦОН) по адресам, указанных на интернет-ресурсе Министерства культуры и информации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www.mki.gov.kz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ЦОНа –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через веб 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 услугодателя, в ЦОНе – 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портале – уведомление о готовности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к услугодателю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в ЦОН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архивных справок",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 –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исполнитель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в течении 10 (десять) минут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входящими документами в течении 5 (пять) минут и определяет ответственного исполнителя услугодателя для выдачи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документы необходимые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 в течении 15 (пятнадцать) календарных дней готовит справку услугополучателю или мотивированный ответ об отказе, подписывает справку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ЦОН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ЦОН в Автоматизированное рабочее место Интегрированной информационной системы ЦОН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ЦОН,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база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ЦОН через ШЭП в автоматизированном рабочем месте регионального шлюза электронного правительства (далее -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6 - получение услугополучателем результата оказания государственной услуги (выдача справки или мотивированный отказ), сформированный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ЦОН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ЦОН результата услуги (справка либо письменный мотивированный ответ об отказе)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процедур (действий)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