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950a" w14:textId="e079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в городе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23 июня 2014 года № 1875. Зарегистрировано Департаментом юстиции Актюбинской области 24 июля 2014 года № 3972. Утратило силу постановлением акимата города Актобе Актюбинской области от 26 августа 2016 года № 3544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26.08.2016 № 3544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"Об утверждении Правил внутренней торговли",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специально отведенные места для осуществления выездной торговли с автолавок и (или) палаток в городе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К. Алимова.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в городе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10378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Кереева,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микрорайон, 86 (перед торговым домом "Нектар")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микрорайон, 21/1 (в районе ресторана "Кара Алтын")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"Болашак" (во дворе дома № 133 "Б")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Бр. Жубановых, 282 (напротив Актюбинского регионального государственного университета имени К.Жубанова)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Есет-батыра, 91 (район супермаркета "Дастархан")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Есет-батыра,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Киселева, 27 (район торгового дома "Арман")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Курсантское шоссе, 16 (перед офисом ТОО "Рокос")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Ахтанова, 46 (перед торговым домом "Турсын")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101 Стрелковой бригады,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"Кунаева" (напротив дома № 85)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Хобда (сбоку дома № 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"Авиагородок" (перед коммунальным мини-рынком)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Рыскулова,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Гришина, 72 (возле магазина по продаже автозапчастей "Самара")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Гришина (во дворе дома № 68)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