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b34" w14:textId="dbb1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170 "О бюджете Каргалинского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28 мая 2014 года № 225. Зарегистрировано Департаментом юстиции Актюбинской области 10 июня 2014 года № 3935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2014-2016 годы» от 20 декабря 2013 года № 170 (зарегистрировано в Реестре государственной регистрации нормативных правовых актов № 3749, опубликовано 30 января 2014 года в районной газете «Қарғалы»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«2 856 950» заменить цифрами «2 702 383»,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«2 376 950» заменить цифрами «2 222 383»;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«2 866 710» заменить цифрами «2 712 143»;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«190 255,0» заменить цифрами «8 131»;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12 228 тысяч тенге – на разработку генеральных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3172 тысяч тенге - на капитальные расходы подведомственных государственных учреждений 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2 860 тысяч тенге - на капитальные расходы подведомственных государственных учреждений и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2 800 тысяч тенге - на разработку проектно-сметной документации для строительства модульной котельной и инженерных сетей, монтаж и демонтаж котельной для подключения к системе газоснабжения газового оборудования государственного учреждения «Саздинская средняя школа» в селе Степное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2 200 тысяч тенге - на разработку проектно-сметной документации для строительства модульной котельной и инженерных сетей, монтаж котельной для подключения к системе газоснабжения газового оборудования государственного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коммунального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казенного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предприятия</w:t>
      </w:r>
      <w:r>
        <w:rPr>
          <w:rFonts w:ascii="Times New Roman"/>
          <w:b w:val="false"/>
          <w:i w:val="false"/>
          <w:color w:val="ffffff"/>
          <w:sz w:val="28"/>
        </w:rPr>
        <w:t>..</w:t>
      </w:r>
      <w:r>
        <w:rPr>
          <w:rFonts w:ascii="Times New Roman"/>
          <w:b w:val="false"/>
          <w:i w:val="false"/>
          <w:color w:val="000000"/>
          <w:sz w:val="28"/>
        </w:rPr>
        <w:t>«Дошкольная организация «Акбота»» в селе Степное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2 200 тысяч тенге - на разработку проектно-сметной документации для строительства инженерных сетей, монтаж и демонтаж котельной для подключения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газоснабжения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газового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оборудования государственного учреждения «Бородиновская средняя школа-детский сад» в селе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Кайракты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1 573 тысяч тенге – на строительство трех одноквартирных жилых домов (арендно-коммунальных) в селе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524 тысяч тенге – на строительство одного одноквартирного жилого дома (арендно-коммунального) в селе Петропавловка Каргалинского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Председатель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Ж.Мустафина                            Х.Жылкыбеков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225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21"/>
        <w:gridCol w:w="1174"/>
        <w:gridCol w:w="948"/>
        <w:gridCol w:w="753"/>
        <w:gridCol w:w="4916"/>
        <w:gridCol w:w="25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2702383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403908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161397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161397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142882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91002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10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74592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2222383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2222383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2222383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46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2712143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220712
</w:t>
            </w:r>
          </w:p>
        </w:tc>
      </w:tr>
      <w:tr>
        <w:trPr>
          <w:trHeight w:val="8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178165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57588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51988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99036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32556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32556
</w:t>
            </w:r>
          </w:p>
        </w:tc>
      </w:tr>
      <w:tr>
        <w:trPr>
          <w:trHeight w:val="13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9991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9991
</w:t>
            </w:r>
          </w:p>
        </w:tc>
      </w:tr>
      <w:tr>
        <w:trPr>
          <w:trHeight w:val="11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
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6628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12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1408274,4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158319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158319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29558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1177377,4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1175804,4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1116656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59148,4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72578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58378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14200
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110293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10009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100284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</w:t>
            </w:r>
          </w:p>
        </w:tc>
      </w:tr>
      <w:tr>
        <w:trPr>
          <w:trHeight w:val="12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4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16944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16944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575400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238771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23422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215349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30797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287458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267969
</w:t>
            </w:r>
          </w:p>
        </w:tc>
      </w:tr>
      <w:tr>
        <w:trPr>
          <w:trHeight w:val="4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49171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20511
</w:t>
            </w:r>
          </w:p>
        </w:tc>
      </w:tr>
      <w:tr>
        <w:trPr>
          <w:trHeight w:val="2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50099
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47599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5426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5426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4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1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36431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28354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8077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24244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12081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12163
</w:t>
            </w:r>
          </w:p>
        </w:tc>
      </w:tr>
      <w:tr>
        <w:trPr>
          <w:trHeight w:val="10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58019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26455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16447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
</w:t>
            </w:r>
          </w:p>
        </w:tc>
      </w:tr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24516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24516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18661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18661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18661
</w:t>
            </w:r>
          </w:p>
        </w:tc>
      </w:tr>
      <w:tr>
        <w:trPr>
          <w:trHeight w:val="14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10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49754
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10367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39387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33809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5707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5707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28102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
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6962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33859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-43619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43619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225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1979"/>
        <w:gridCol w:w="1626"/>
        <w:gridCol w:w="1357"/>
        <w:gridCol w:w="1782"/>
        <w:gridCol w:w="1785"/>
        <w:gridCol w:w="2054"/>
      </w:tblGrid>
      <w:tr>
        <w:trPr>
          <w:trHeight w:val="31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132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7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15597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593"/>
        <w:gridCol w:w="1693"/>
        <w:gridCol w:w="2273"/>
        <w:gridCol w:w="1593"/>
        <w:gridCol w:w="1913"/>
        <w:gridCol w:w="1653"/>
      </w:tblGrid>
      <w:tr>
        <w:trPr>
          <w:trHeight w:val="31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32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21865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38060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5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21076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