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e6fa" w14:textId="a1ee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31 июля 2013 года № 110 "Об утверждении Правил определения размера и порядка оказания жилищной помощи малообеспеченным семьям (гражданам)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18 февраля 2014 года № 148. Зарегистрировано Департаментом юстиции Актюбинской области 19 марта 2014 года № 3823. Утратило силу решением маслихата Уилского района Актюбинской области от 13 марта 2017 года №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Уилского района Актюбинской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нормативными положениями Законов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"Об утверждении Правил определения размера и порядка оказания жилищной помощи малообеспеченным семьям (гражданам) в Уилском районе" от 31 июля 2013 года № 110, (зарегистрированное в реестре государственной регистрации нормативных правовых актов за № 3642, опубликованное в районной газете "Ойыл" от 12 сентября 2013 года № 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в Уилском районе, утвержденных указанным решением исключить 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"стоимости однофазного счетчика электрической энергии с классам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стоимость однофазного счетчика электрической энергии с классам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"стоимостью однофазного счетчика электрической энергии с классам точности не ниже 1 с дифференцированным учетом и контролем расхода электроэнергии по времени суток,";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и стоимость однофазного счетчика электрической энергии с классам точности не ниже 1 с дифференцированным учетом и контролем расхода электроэнергии по времени суток".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