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e564" w14:textId="d80e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Уилского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Уилского районного маслихата Актюбинской области от 18 февраля 2014 года № 149. Зарегистрировано Департаментом юстиции Актюбинской области 27 марта 2014 года № 3832. Утратило силу решением маслихата Уилского района Актюбинской области от 13 марта 2017 года № 86</w:t>
      </w:r>
    </w:p>
    <w:p>
      <w:pPr>
        <w:spacing w:after="0"/>
        <w:ind w:left="0"/>
        <w:jc w:val="left"/>
      </w:pPr>
      <w:r>
        <w:rPr>
          <w:rFonts w:ascii="Times New Roman"/>
          <w:b w:val="false"/>
          <w:i w:val="false"/>
          <w:color w:val="ff0000"/>
          <w:sz w:val="28"/>
        </w:rPr>
        <w:t xml:space="preserve">      Сноска. Утратило силу решением маслихата Уилского района Актюбинской области от 13.03.2017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Уилский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Уилского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18 февраля 2014 года № 149</w:t>
            </w:r>
          </w:p>
        </w:tc>
      </w:tr>
    </w:tbl>
    <w:bookmarkStart w:name="z5" w:id="0"/>
    <w:p>
      <w:pPr>
        <w:spacing w:after="0"/>
        <w:ind w:left="0"/>
        <w:jc w:val="left"/>
      </w:pPr>
      <w:r>
        <w:rPr>
          <w:rFonts w:ascii="Times New Roman"/>
          <w:b/>
          <w:i w:val="false"/>
          <w:color w:val="000000"/>
        </w:rPr>
        <w:t xml:space="preserve"> РЕГЛАМЕНТ</w:t>
      </w:r>
      <w:r>
        <w:br/>
      </w:r>
      <w:r>
        <w:rPr>
          <w:rFonts w:ascii="Times New Roman"/>
          <w:b/>
          <w:i w:val="false"/>
          <w:color w:val="000000"/>
        </w:rPr>
        <w:t>Уилского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Уилского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p>
    <w:bookmarkEnd w:id="2"/>
    <w:bookmarkStart w:name="z11"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сессий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6"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r>
        <w:br/>
      </w:r>
      <w:r>
        <w:rPr>
          <w:rFonts w:ascii="Times New Roman"/>
          <w:b w:val="false"/>
          <w:i w:val="false"/>
          <w:color w:val="000000"/>
          <w:sz w:val="28"/>
        </w:rPr>
        <w:t>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r>
        <w:br/>
      </w: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 </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w:t>
      </w:r>
      <w:r>
        <w:br/>
      </w: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r>
        <w:br/>
      </w: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