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111c" w14:textId="a5d1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Хромтауского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Хромтауского района Актюбинской области от 24 февраля 2014 года № 161. Зарегистрировано Департаментом юстиции Актюбинской области 27 марта 2014 года № 3830. Утратило силу решением маслихата Хромтауского района Актюбинской области от 08 июня 2016 года № 30</w:t>
      </w:r>
    </w:p>
    <w:p>
      <w:pPr>
        <w:spacing w:after="0"/>
        <w:ind w:left="0"/>
        <w:jc w:val="left"/>
      </w:pPr>
      <w:r>
        <w:rPr>
          <w:rFonts w:ascii="Times New Roman"/>
          <w:b w:val="false"/>
          <w:i w:val="false"/>
          <w:color w:val="ff0000"/>
          <w:sz w:val="28"/>
        </w:rPr>
        <w:t xml:space="preserve">      Сноска. Утратило силу решением маслихата Хромтауского района Актюбинской области от 08.06.2016 </w:t>
      </w:r>
      <w:r>
        <w:rPr>
          <w:rFonts w:ascii="Times New Roman"/>
          <w:b w:val="false"/>
          <w:i w:val="false"/>
          <w:color w:val="ff0000"/>
          <w:sz w:val="28"/>
        </w:rPr>
        <w:t>№ 30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Хромтауский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Хромтауского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Н.Карагулов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Д.Мулдашев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Хромтауского районного маслихата</w:t>
            </w:r>
            <w:r>
              <w:br/>
            </w:r>
            <w:r>
              <w:rPr>
                <w:rFonts w:ascii="Times New Roman"/>
                <w:b w:val="false"/>
                <w:i w:val="false"/>
                <w:color w:val="000000"/>
                <w:sz w:val="20"/>
              </w:rPr>
              <w:t>от 24 февраля 2014 года № 161</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Хромтауского районного маслихата</w:t>
      </w:r>
    </w:p>
    <w:p>
      <w:pPr>
        <w:spacing w:after="0"/>
        <w:ind w:left="0"/>
        <w:jc w:val="left"/>
      </w:pPr>
      <w:r>
        <w:rPr>
          <w:rFonts w:ascii="Times New Roman"/>
          <w:b w:val="false"/>
          <w:i w:val="false"/>
          <w:color w:val="000000"/>
          <w:sz w:val="28"/>
        </w:rPr>
        <w:t>      1. Общие положения</w:t>
      </w:r>
      <w:r>
        <w:br/>
      </w:r>
      <w:r>
        <w:rPr>
          <w:rFonts w:ascii="Times New Roman"/>
          <w:b w:val="false"/>
          <w:i w:val="false"/>
          <w:color w:val="000000"/>
          <w:sz w:val="28"/>
        </w:rPr>
        <w:t>
      </w:t>
      </w:r>
      <w:r>
        <w:rPr>
          <w:rFonts w:ascii="Times New Roman"/>
          <w:b w:val="false"/>
          <w:i w:val="false"/>
          <w:color w:val="000000"/>
          <w:sz w:val="28"/>
        </w:rPr>
        <w:t xml:space="preserve">1. Настоящий Регламент Хромтауского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Типовых правил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районного маслихата, внесения и рассмотрения на них вопросов,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Районный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 сессии районного маслихата</w:t>
      </w:r>
      <w:r>
        <w:br/>
      </w:r>
      <w:r>
        <w:rPr>
          <w:rFonts w:ascii="Times New Roman"/>
          <w:b w:val="false"/>
          <w:i w:val="false"/>
          <w:color w:val="000000"/>
          <w:sz w:val="28"/>
        </w:rPr>
        <w:t>
      2.1. Сессии районного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районного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районным маслихатом, но не превышающий пятнадцати календарных дней. Продолжительность сессии определяется районным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районного маслихата, принимаемому по предложению председателя сессии районного маслихата или одной трети от числа депутатов, присутствующих на сессии районного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районного маслихата по предложению не менее одной трети от числа депутатов, избранных в районный маслихат, а также акима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районного маслихата, на сессии районного маслихата приглашаются акимы района, города,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районного маслихата проводятся в определенное районным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районного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районного маслихата.</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 районного маслихата</w:t>
      </w:r>
      <w:r>
        <w:br/>
      </w:r>
      <w:r>
        <w:rPr>
          <w:rFonts w:ascii="Times New Roman"/>
          <w:b w:val="false"/>
          <w:i w:val="false"/>
          <w:color w:val="000000"/>
          <w:sz w:val="28"/>
        </w:rPr>
        <w:t>
      </w:t>
      </w:r>
      <w:r>
        <w:rPr>
          <w:rFonts w:ascii="Times New Roman"/>
          <w:b w:val="false"/>
          <w:i w:val="false"/>
          <w:color w:val="000000"/>
          <w:sz w:val="28"/>
        </w:rPr>
        <w:t xml:space="preserve">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районного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районного акимата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районного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Департменте юстиции Актюбинской области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районного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районного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районного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районного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районного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Отдел экономики и бюджетного планирования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районного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30. При уточнении бюджета района на внеочередной сессии районного маслихата в течение двух дней со дня принятия решения о еҰ созыве проводится работа по рассмотрению проекта бюджета в постоянных комиссиях. </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заслушивания отчетов</w:t>
      </w:r>
      <w:r>
        <w:br/>
      </w: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районным маслихатом представленных районным акимом отчетов об исполнении планов, экономических и социальных программ развития территорий, местного бюджета является основанием для рассмотрения районным маслихатом вопроса о выражении недоверия районному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районного маслихата.</w:t>
      </w:r>
      <w:r>
        <w:br/>
      </w:r>
      <w:r>
        <w:rPr>
          <w:rFonts w:ascii="Times New Roman"/>
          <w:b w:val="false"/>
          <w:i w:val="false"/>
          <w:color w:val="000000"/>
          <w:sz w:val="28"/>
        </w:rPr>
        <w:t>
      Секретарь районного маслихата не реже одного раза в год на очередных сессиях районного маслихата отчитывается о проделанной работе по организации деятельности районного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районного маслихата.</w:t>
      </w:r>
      <w:r>
        <w:br/>
      </w:r>
      <w:r>
        <w:rPr>
          <w:rFonts w:ascii="Times New Roman"/>
          <w:b w:val="false"/>
          <w:i w:val="false"/>
          <w:color w:val="000000"/>
          <w:sz w:val="28"/>
        </w:rPr>
        <w:t xml:space="preserve">
      Председатели сессии районного маслихата, постоянных комиссий маслихата не реже одного раза в год на очередных сессиях районного маслихата отчитываются о выполнении возложенных функций и полномочий. </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рассматриваются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Районного маслихат не реже одного раза в год отчитывается перед населением о проделанной работе районного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городов, сел,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районного маслихата, председателями постоянных комиссий.</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r>
        <w:br/>
      </w: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района и должностным лицам районных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Районный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районного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района, не могут быть связаны с осуществлением уголовного преследования.</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 районного маслихата, депутатские объединения районного маслихата</w:t>
      </w:r>
      <w:r>
        <w:br/>
      </w:r>
      <w:r>
        <w:rPr>
          <w:rFonts w:ascii="Times New Roman"/>
          <w:b w:val="false"/>
          <w:i w:val="false"/>
          <w:color w:val="000000"/>
          <w:sz w:val="28"/>
        </w:rPr>
        <w:t>
      5.1. Председатель сессии районного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xml:space="preserve">
      Депутат районного маслихата не может быть избран председателем сессии районного маслихата более двух раз в течение календарного года. </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xml:space="preserve">
      3) ведет заседания сессии районного маслихата, обеспечивает соблюдение регламента районного маслихата; </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районного маслихата</w:t>
      </w:r>
      <w:r>
        <w:br/>
      </w: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районного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праве состоять в постоянных комиссиях маслихата. При досрочном прекращении полномочий секретаря районного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районного маслихата</w:t>
      </w:r>
      <w:r>
        <w:br/>
      </w: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районным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районным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районного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районного маслихата,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районным маслихатом либо секретарем районного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районного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Редакционная и счетная комиссия районного маслихата</w:t>
      </w:r>
      <w:r>
        <w:br/>
      </w: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 в районном маслихате</w:t>
      </w:r>
      <w:r>
        <w:br/>
      </w: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районного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районного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районным маслихатом;</w:t>
      </w:r>
      <w:r>
        <w:br/>
      </w:r>
      <w:r>
        <w:rPr>
          <w:rFonts w:ascii="Times New Roman"/>
          <w:b w:val="false"/>
          <w:i w:val="false"/>
          <w:color w:val="000000"/>
          <w:sz w:val="28"/>
        </w:rPr>
        <w:t>
      3) предлагать поправки к проектам решений районного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r>
        <w:br/>
      </w:r>
      <w:r>
        <w:rPr>
          <w:rFonts w:ascii="Times New Roman"/>
          <w:b w:val="false"/>
          <w:i w:val="false"/>
          <w:color w:val="000000"/>
          <w:sz w:val="28"/>
        </w:rPr>
        <w:t>
      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районного маслихата, комиссий районного маслихата;</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районного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районного маслихата, постоянных комиссий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 аппарата районного маслихата</w:t>
      </w:r>
      <w:r>
        <w:br/>
      </w: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xml:space="preserve">
      Аппарат районного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районного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районного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