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1f62" w14:textId="943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14 декабря 2012 года N 396 "Об утверждении регламента электронной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08 января 2014 года N 1. Зарегистрировано Департаментом юстиции Алматинской области 13 февраля 2014 года N 2572. Утратило силу постановлением акимата Алматинской области от 02 июня 2014 года N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02.06.2014 N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"Об утверждении регламента электронной государственной услуги" от 14 декабря 2012 года N 396 (зарегистрированное в Реестре государственной регистрации нормативных правовых актов в департаменте юстиции Алматинской области от 18 января 2013 года N 2282 и опубликованное в газетах "Жетісу" и "Огни Алатау" от 5 марта 2013 года N 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соответствии с пунктом 4 статьи 9-1 Закона Республики Казахстан от 27 ноября 2000 года "Об административных процедурах"" заменить словами "В соответствии статьи 16 Закона Республики Казахстан "О государственных услугах" от 15 апреля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промышленности"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Турдалиева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