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0063" w14:textId="c52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(междугородных внутриобластных) и пригородных сообщений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29 мая 2014 года № 32-195. Зарегистрировано Департаментом юстиции Алматинской области 10 июня 2014 года № 2742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социально значимых пассажирских межрайонных (междугородных внутриобластных) и пригородных сообщений Алматинской области в области железнодорожного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контроля за исполнением настоящего решения возложить на курирующего заместителя акима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Миразов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Келемсеит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32-195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социально значимых пассажирских</w:t>
      </w:r>
      <w:r>
        <w:br/>
      </w:r>
      <w:r>
        <w:rPr>
          <w:rFonts w:ascii="Times New Roman"/>
          <w:b/>
          <w:i w:val="false"/>
          <w:color w:val="000000"/>
        </w:rPr>
        <w:t>
межрайонных (междугородных внутриобластных) и пригородных</w:t>
      </w:r>
      <w:r>
        <w:br/>
      </w:r>
      <w:r>
        <w:rPr>
          <w:rFonts w:ascii="Times New Roman"/>
          <w:b/>
          <w:i w:val="false"/>
          <w:color w:val="000000"/>
        </w:rPr>
        <w:t>
сообщений Алматинской области в области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893"/>
      </w:tblGrid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Талдыкорган-Жетысу-Талдыкорган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