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198" w14:textId="d769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10 февраля 2014 года N 29-190. Зарегистрировано Департаментом юстиции Алматинской области 20 марта 2014 года N 2623. Утратило силу решением Жамбылского районного маслихата Алматинской области от 23 ноября 2021 года № 12-71</w:t>
      </w:r>
    </w:p>
    <w:p>
      <w:pPr>
        <w:spacing w:after="0"/>
        <w:ind w:left="0"/>
        <w:jc w:val="both"/>
      </w:pPr>
      <w:r>
        <w:rPr>
          <w:rFonts w:ascii="Times New Roman"/>
          <w:b w:val="false"/>
          <w:i w:val="false"/>
          <w:color w:val="ff0000"/>
          <w:sz w:val="28"/>
        </w:rPr>
        <w:t xml:space="preserve">
      Сноска. Утратило силу решением Жамбылского районного маслихата Алматинской области от 23.11.2021 </w:t>
      </w:r>
      <w:r>
        <w:rPr>
          <w:rFonts w:ascii="Times New Roman"/>
          <w:b w:val="false"/>
          <w:i w:val="false"/>
          <w:color w:val="ff0000"/>
          <w:sz w:val="28"/>
        </w:rPr>
        <w:t>№ 12-71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Жамбылский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Жамбылского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Мырзабекова Хажмукана Ормахановича.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Олжабеков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Журын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 N 29-190 от</w:t>
            </w:r>
            <w:r>
              <w:br/>
            </w:r>
            <w:r>
              <w:rPr>
                <w:rFonts w:ascii="Times New Roman"/>
                <w:b w:val="false"/>
                <w:i w:val="false"/>
                <w:color w:val="000000"/>
                <w:sz w:val="20"/>
              </w:rPr>
              <w:t>10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w:t>
            </w:r>
          </w:p>
        </w:tc>
      </w:tr>
    </w:tbl>
    <w:bookmarkStart w:name="z6" w:id="4"/>
    <w:p>
      <w:pPr>
        <w:spacing w:after="0"/>
        <w:ind w:left="0"/>
        <w:jc w:val="left"/>
      </w:pPr>
      <w:r>
        <w:rPr>
          <w:rFonts w:ascii="Times New Roman"/>
          <w:b/>
          <w:i w:val="false"/>
          <w:color w:val="000000"/>
        </w:rPr>
        <w:t xml:space="preserve"> Регламент Жамбылского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Жамбылского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Жамбылский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Отчет ревизионной комиссии области об исполнении бюджета района рассматриваются маслихатом ежегодно.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Жамбылского районного маслихата Алматинской области от 05.05.2014 </w:t>
      </w:r>
      <w:r>
        <w:rPr>
          <w:rFonts w:ascii="Times New Roman"/>
          <w:b w:val="false"/>
          <w:i w:val="false"/>
          <w:color w:val="000000"/>
          <w:sz w:val="28"/>
        </w:rPr>
        <w:t>N 33-231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41.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